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9C" w:rsidRDefault="00707F9C" w:rsidP="00707F9C">
      <w:pPr>
        <w:jc w:val="center"/>
        <w:rPr>
          <w:b/>
          <w:bCs/>
          <w:sz w:val="28"/>
        </w:rPr>
      </w:pPr>
      <w:r>
        <w:rPr>
          <w:b/>
          <w:bCs/>
          <w:sz w:val="28"/>
        </w:rPr>
        <w:t xml:space="preserve">BEFORE THE CITY COUNCIL </w:t>
      </w:r>
    </w:p>
    <w:p w:rsidR="00707F9C" w:rsidRDefault="00707F9C" w:rsidP="00707F9C">
      <w:pPr>
        <w:jc w:val="center"/>
        <w:rPr>
          <w:b/>
          <w:bCs/>
          <w:sz w:val="28"/>
        </w:rPr>
      </w:pPr>
      <w:r>
        <w:rPr>
          <w:b/>
          <w:bCs/>
          <w:sz w:val="28"/>
        </w:rPr>
        <w:t>FOR THE CITY OF MOSIER, OREGON</w:t>
      </w:r>
    </w:p>
    <w:p w:rsidR="00707F9C" w:rsidRDefault="00707F9C" w:rsidP="00707F9C"/>
    <w:p w:rsidR="00707F9C" w:rsidRDefault="00E11543" w:rsidP="00707F9C">
      <w:pPr>
        <w:jc w:val="center"/>
        <w:rPr>
          <w:b/>
          <w:bCs/>
          <w:sz w:val="28"/>
          <w:szCs w:val="32"/>
        </w:rPr>
      </w:pPr>
      <w:r>
        <w:rPr>
          <w:b/>
          <w:bCs/>
          <w:sz w:val="28"/>
          <w:szCs w:val="32"/>
        </w:rPr>
        <w:t>Resolution No. 2015-04</w:t>
      </w:r>
      <w:bookmarkStart w:id="0" w:name="_GoBack"/>
      <w:bookmarkEnd w:id="0"/>
    </w:p>
    <w:p w:rsidR="00707F9C" w:rsidRDefault="00707F9C" w:rsidP="00707F9C">
      <w:pPr>
        <w:rPr>
          <w:b/>
        </w:rPr>
      </w:pPr>
    </w:p>
    <w:p w:rsidR="00707F9C" w:rsidRDefault="00707F9C" w:rsidP="00707F9C">
      <w:pPr>
        <w:jc w:val="center"/>
        <w:rPr>
          <w:b/>
        </w:rPr>
      </w:pPr>
      <w:r>
        <w:rPr>
          <w:b/>
        </w:rPr>
        <w:t>A Resolution Repealing Resolution 2006-03 and Adopting a New Schedule of Rates for All Users of the City Water Utility</w:t>
      </w:r>
    </w:p>
    <w:p w:rsidR="00707F9C" w:rsidRDefault="00707F9C" w:rsidP="00707F9C"/>
    <w:p w:rsidR="00707F9C" w:rsidRDefault="00707F9C" w:rsidP="00707F9C">
      <w:r>
        <w:tab/>
        <w:t>The Mosier City Council makes the following findings:</w:t>
      </w:r>
    </w:p>
    <w:p w:rsidR="00707F9C" w:rsidRDefault="00707F9C" w:rsidP="00707F9C"/>
    <w:p w:rsidR="00707F9C" w:rsidRDefault="00707F9C" w:rsidP="00707F9C">
      <w:pPr>
        <w:spacing w:after="200"/>
      </w:pPr>
      <w:r>
        <w:tab/>
      </w:r>
      <w:r>
        <w:rPr>
          <w:b/>
          <w:bCs/>
        </w:rPr>
        <w:t>WHEREAS</w:t>
      </w:r>
      <w:r>
        <w:t xml:space="preserve"> the City of Mosier owns, operates, and maintains a municipal water system providing water to connected users of the utility service;</w:t>
      </w:r>
    </w:p>
    <w:p w:rsidR="00707F9C" w:rsidRDefault="00707F9C" w:rsidP="00707F9C">
      <w:pPr>
        <w:rPr>
          <w:iCs/>
        </w:rPr>
      </w:pPr>
      <w:r>
        <w:rPr>
          <w:b/>
          <w:bCs/>
        </w:rPr>
        <w:tab/>
        <w:t>WHEREAS</w:t>
      </w:r>
      <w:r>
        <w:t xml:space="preserve">, pursuant to City’s Municipal Water Code – Chapters 11.01.100, the City Council is authorized to establish, and from time to time revise, customer water rates that </w:t>
      </w:r>
      <w:r>
        <w:rPr>
          <w:iCs/>
        </w:rPr>
        <w:t>reflect actual costs of the operation, maintenance, repair, and replacement of the supply, storage, and distribution works; and</w:t>
      </w:r>
    </w:p>
    <w:p w:rsidR="00707F9C" w:rsidRDefault="00707F9C" w:rsidP="00707F9C">
      <w:pPr>
        <w:rPr>
          <w:iCs/>
        </w:rPr>
      </w:pPr>
    </w:p>
    <w:p w:rsidR="00707F9C" w:rsidRDefault="00707F9C" w:rsidP="00707F9C">
      <w:r>
        <w:rPr>
          <w:b/>
          <w:bCs/>
        </w:rPr>
        <w:tab/>
        <w:t>WHEREAS</w:t>
      </w:r>
      <w:r>
        <w:t xml:space="preserve">, pursuant to this authority, on </w:t>
      </w:r>
      <w:r w:rsidR="00551DE4">
        <w:t>March 15</w:t>
      </w:r>
      <w:r w:rsidR="00551DE4" w:rsidRPr="00551DE4">
        <w:rPr>
          <w:vertAlign w:val="superscript"/>
        </w:rPr>
        <w:t>th</w:t>
      </w:r>
      <w:r w:rsidR="00551DE4">
        <w:t xml:space="preserve">, </w:t>
      </w:r>
      <w:r>
        <w:t>2006, the Mosier City Council adopted Resolution 2006-03 (Resolution Adopting Water Rates), which established a schedule of water rates for all customers of the City’s water utility</w:t>
      </w:r>
      <w:r w:rsidR="00CB08FA">
        <w:t xml:space="preserve"> and the City’s water rates have not changed since 2006</w:t>
      </w:r>
      <w:r>
        <w:t>; and</w:t>
      </w:r>
    </w:p>
    <w:p w:rsidR="00CB08FA" w:rsidRDefault="00CB08FA" w:rsidP="00707F9C"/>
    <w:p w:rsidR="00CB08FA" w:rsidRDefault="00CB08FA" w:rsidP="00CB08FA">
      <w:pPr>
        <w:spacing w:after="200"/>
      </w:pPr>
      <w:r>
        <w:tab/>
      </w:r>
      <w:r>
        <w:rPr>
          <w:b/>
          <w:bCs/>
        </w:rPr>
        <w:t>WHEREAS</w:t>
      </w:r>
      <w:r>
        <w:t xml:space="preserve"> the City Financial Director has conducted a forecast and rate study supporting the determination of sufficient rates and revenues to sustain the financial viability of the water system;</w:t>
      </w:r>
    </w:p>
    <w:p w:rsidR="00707F9C" w:rsidRDefault="00707F9C" w:rsidP="00707F9C">
      <w:r>
        <w:tab/>
      </w:r>
      <w:r>
        <w:rPr>
          <w:b/>
          <w:bCs/>
        </w:rPr>
        <w:t>WHEREAS</w:t>
      </w:r>
      <w:r>
        <w:t xml:space="preserve">, </w:t>
      </w:r>
      <w:r w:rsidR="00CB08FA">
        <w:t>based on this forecast,</w:t>
      </w:r>
      <w:r>
        <w:t xml:space="preserve"> </w:t>
      </w:r>
      <w:r w:rsidR="00CB08FA">
        <w:t xml:space="preserve">the City Financial Director has determined that a </w:t>
      </w:r>
      <w:r w:rsidR="0009732F">
        <w:t xml:space="preserve">three (3) percent </w:t>
      </w:r>
      <w:r w:rsidR="00CB08FA">
        <w:t>rate adjustment is needed to keep pace with inflationary increases in expenses.  T</w:t>
      </w:r>
      <w:r>
        <w:t>he revise</w:t>
      </w:r>
      <w:r w:rsidR="00CB08FA">
        <w:t>d</w:t>
      </w:r>
      <w:r>
        <w:t xml:space="preserve"> rates for the city’s water utility </w:t>
      </w:r>
      <w:r w:rsidR="00CB08FA">
        <w:t xml:space="preserve">are </w:t>
      </w:r>
      <w:r>
        <w:t xml:space="preserve">reflected in </w:t>
      </w:r>
      <w:r>
        <w:rPr>
          <w:u w:val="single"/>
        </w:rPr>
        <w:t>Exhibit A</w:t>
      </w:r>
      <w:r>
        <w:t>, attached to this resolution and incorporated herein by this reference; and</w:t>
      </w:r>
    </w:p>
    <w:p w:rsidR="00A04D06" w:rsidRDefault="00A04D06" w:rsidP="00707F9C"/>
    <w:p w:rsidR="00A04D06" w:rsidRDefault="00A04D06" w:rsidP="00A04D06">
      <w:pPr>
        <w:rPr>
          <w:b/>
          <w:bCs/>
        </w:rPr>
      </w:pPr>
      <w:r>
        <w:rPr>
          <w:b/>
          <w:bCs/>
        </w:rPr>
        <w:tab/>
        <w:t xml:space="preserve">NOW THEREFORE, based on the foregoing findings, the </w:t>
      </w:r>
      <w:smartTag w:uri="urn:schemas-microsoft-com:office:smarttags" w:element="place">
        <w:smartTag w:uri="urn:schemas-microsoft-com:office:smarttags" w:element="PlaceName">
          <w:r>
            <w:rPr>
              <w:b/>
              <w:bCs/>
            </w:rPr>
            <w:t>Mosier</w:t>
          </w:r>
        </w:smartTag>
        <w:r>
          <w:rPr>
            <w:b/>
            <w:bCs/>
          </w:rPr>
          <w:t xml:space="preserve"> </w:t>
        </w:r>
        <w:smartTag w:uri="urn:schemas-microsoft-com:office:smarttags" w:element="PlaceType">
          <w:r>
            <w:rPr>
              <w:b/>
              <w:bCs/>
            </w:rPr>
            <w:t>City</w:t>
          </w:r>
        </w:smartTag>
      </w:smartTag>
      <w:r>
        <w:rPr>
          <w:b/>
          <w:bCs/>
        </w:rPr>
        <w:t xml:space="preserve"> Council resolves that: </w:t>
      </w:r>
    </w:p>
    <w:p w:rsidR="00A04D06" w:rsidRDefault="00A04D06" w:rsidP="00A04D06"/>
    <w:p w:rsidR="00A04D06" w:rsidRDefault="00A04D06" w:rsidP="001600AC">
      <w:r>
        <w:tab/>
        <w:t xml:space="preserve">Resolution No. 2006-03 is hereby repealed in its entirety and shall be of no further legal effect.   </w:t>
      </w:r>
    </w:p>
    <w:p w:rsidR="00A04D06" w:rsidRDefault="00A04D06" w:rsidP="00A04D06"/>
    <w:p w:rsidR="00A04D06" w:rsidRDefault="00A04D06" w:rsidP="001600AC">
      <w:r w:rsidRPr="001600AC">
        <w:tab/>
      </w:r>
      <w:r w:rsidR="001600AC" w:rsidRPr="009D15B3">
        <w:rPr>
          <w:b/>
        </w:rPr>
        <w:t>BE IT FURTHER RESOLVED</w:t>
      </w:r>
      <w:r w:rsidR="001600AC">
        <w:t xml:space="preserve"> that a</w:t>
      </w:r>
      <w:r>
        <w:t xml:space="preserve">ll connections to the City water system shall pay a </w:t>
      </w:r>
      <w:r w:rsidR="001600AC">
        <w:t xml:space="preserve">fixed </w:t>
      </w:r>
      <w:r>
        <w:t>fee per month based on the size of the water meter serving the connection, regardless of the quantity of water consumed, according to Exhibit A</w:t>
      </w:r>
      <w:r w:rsidR="009D15B3">
        <w:t>.</w:t>
      </w:r>
      <w:r>
        <w:t xml:space="preserve"> </w:t>
      </w:r>
      <w:r w:rsidR="009D15B3">
        <w:t xml:space="preserve"> </w:t>
      </w:r>
      <w:r>
        <w:t>In addition the above-mentioned fixed monthly rates, all connections to the City water system shall pay the additional fees based on the amount of metered water consumption as shown in Exhibit A</w:t>
      </w:r>
      <w:r w:rsidR="009D15B3">
        <w:t>.</w:t>
      </w:r>
    </w:p>
    <w:p w:rsidR="00A04D06" w:rsidRDefault="00A04D06" w:rsidP="00A04D06">
      <w:pPr>
        <w:spacing w:after="200"/>
        <w:ind w:left="720" w:hanging="720"/>
        <w:jc w:val="both"/>
        <w:rPr>
          <w:b/>
          <w:bCs/>
        </w:rPr>
      </w:pPr>
    </w:p>
    <w:p w:rsidR="00A04D06" w:rsidRDefault="00A04D06" w:rsidP="001600AC">
      <w:r w:rsidRPr="001600AC">
        <w:lastRenderedPageBreak/>
        <w:t xml:space="preserve"> </w:t>
      </w:r>
      <w:r w:rsidRPr="001600AC">
        <w:tab/>
      </w:r>
      <w:r w:rsidR="001600AC" w:rsidRPr="009D15B3">
        <w:rPr>
          <w:b/>
        </w:rPr>
        <w:t>BE IT FURTHER RESOLVED</w:t>
      </w:r>
      <w:r w:rsidR="001600AC">
        <w:t xml:space="preserve"> </w:t>
      </w:r>
      <w:r w:rsidR="009D15B3">
        <w:t>that t</w:t>
      </w:r>
      <w:r>
        <w:t xml:space="preserve">he water rates provided for in this Resolution will be billed monthly to all connections to the water system.  There will be no discounted, or “turn-off,” rates available for non-use of the water system, nor will rates be excused in the event of a long-term vacancy.  If a user has no metered water consumption, regardless of circumstance, the fixed rate prescribed in </w:t>
      </w:r>
      <w:r w:rsidR="009D15B3">
        <w:t>Exhibit A</w:t>
      </w:r>
      <w:r>
        <w:t xml:space="preserve"> shall still apply and be due each month.</w:t>
      </w:r>
    </w:p>
    <w:p w:rsidR="009D15B3" w:rsidRDefault="009D15B3" w:rsidP="001600AC"/>
    <w:p w:rsidR="00A04D06" w:rsidRDefault="00A04D06" w:rsidP="001600AC">
      <w:r>
        <w:tab/>
      </w:r>
      <w:r w:rsidR="001600AC" w:rsidRPr="009D15B3">
        <w:rPr>
          <w:b/>
        </w:rPr>
        <w:t>BE IT FURTHER RESOLVED</w:t>
      </w:r>
      <w:r w:rsidR="001600AC">
        <w:t xml:space="preserve"> </w:t>
      </w:r>
      <w:r w:rsidR="009D15B3">
        <w:t>that w</w:t>
      </w:r>
      <w:r>
        <w:t>ater rates may be waived, for up to one year, for customers whose real property cannot be occupied due to a natural disaster, such as fire or flood.  Upon re-occupation or at the end of the first year, water rates provided for in this Resolution shall apply.</w:t>
      </w:r>
    </w:p>
    <w:p w:rsidR="009D15B3" w:rsidRDefault="009D15B3" w:rsidP="001600AC"/>
    <w:p w:rsidR="00551DE4" w:rsidRDefault="00A04D06" w:rsidP="00551DE4">
      <w:r w:rsidRPr="001600AC">
        <w:t xml:space="preserve"> </w:t>
      </w:r>
      <w:r w:rsidRPr="001600AC">
        <w:tab/>
      </w:r>
      <w:r w:rsidR="001600AC" w:rsidRPr="00551DE4">
        <w:rPr>
          <w:b/>
        </w:rPr>
        <w:t>BE IT FURTHER RESOLVED</w:t>
      </w:r>
      <w:r w:rsidR="00551DE4" w:rsidRPr="00551DE4">
        <w:t xml:space="preserve"> that the</w:t>
      </w:r>
      <w:r w:rsidR="00551DE4">
        <w:t xml:space="preserve"> City will provide a credit to a user’s water bill once every two years in the event of excessive water use caused by a plumbing leak.  In order to receive a bill adjustment, the user must provide to the City documented proof that the leak has been repaired, </w:t>
      </w:r>
      <w:r w:rsidR="00551DE4" w:rsidRPr="00551DE4">
        <w:t>e.g.,</w:t>
      </w:r>
      <w:r w:rsidR="00551DE4">
        <w:t xml:space="preserve"> a service invoice or receipt for materials.  Afterward, the City will provide an adjustment to the water bill by recalculating charges associated with the volume rates for up to six months.  The City will apply the prevailing volume rates to the user’s average monthly water consumption prior to the leak </w:t>
      </w:r>
      <w:r w:rsidR="00551DE4" w:rsidRPr="00551DE4">
        <w:t>as calculated by the billing software</w:t>
      </w:r>
      <w:r w:rsidR="00551DE4">
        <w:t>.  In the event that history is not available for the user, volume rates will be applied to an assumed monthly consumption of 7,500 gallons, in order to calculate an adjusted bill.  The leak adjustment will not apply to a user’s fixed charges, which will be billed as normal.</w:t>
      </w:r>
    </w:p>
    <w:p w:rsidR="009D15B3" w:rsidRDefault="009D15B3" w:rsidP="001600AC"/>
    <w:p w:rsidR="00A04D06" w:rsidRDefault="00A04D06" w:rsidP="001600AC">
      <w:r>
        <w:tab/>
      </w:r>
      <w:r w:rsidR="001600AC" w:rsidRPr="009D15B3">
        <w:rPr>
          <w:b/>
        </w:rPr>
        <w:t>BE IT FURTHER RESOLVED</w:t>
      </w:r>
      <w:r w:rsidR="009D15B3">
        <w:rPr>
          <w:b/>
        </w:rPr>
        <w:t xml:space="preserve"> </w:t>
      </w:r>
      <w:r w:rsidR="009D15B3">
        <w:t>that d</w:t>
      </w:r>
      <w:r>
        <w:t xml:space="preserve">elinquent water fees that remain unpaid for 30 days after they become due shall become a lien against the real property and shall be entered on the City Lien Docket.  The City may, at its discretion, record liens for delinquent water and sewer fees that are at least 30-days past-due in the real property deed records of </w:t>
      </w:r>
      <w:smartTag w:uri="urn:schemas-microsoft-com:office:smarttags" w:element="place">
        <w:smartTag w:uri="urn:schemas-microsoft-com:office:smarttags" w:element="PlaceName">
          <w:r>
            <w:t>Wasco</w:t>
          </w:r>
        </w:smartTag>
        <w:r>
          <w:t xml:space="preserve"> </w:t>
        </w:r>
        <w:smartTag w:uri="urn:schemas-microsoft-com:office:smarttags" w:element="PlaceType">
          <w:r>
            <w:t>County</w:t>
          </w:r>
        </w:smartTag>
      </w:smartTag>
      <w:r>
        <w:t>.</w:t>
      </w:r>
    </w:p>
    <w:p w:rsidR="009D15B3" w:rsidRDefault="009D15B3" w:rsidP="001600AC"/>
    <w:p w:rsidR="00A04D06" w:rsidRPr="001600AC" w:rsidRDefault="00A04D06" w:rsidP="009D15B3">
      <w:pPr>
        <w:ind w:firstLine="720"/>
      </w:pPr>
      <w:r w:rsidRPr="009D15B3">
        <w:rPr>
          <w:b/>
        </w:rPr>
        <w:t>BE IT FURTHER RESOLVED</w:t>
      </w:r>
      <w:r w:rsidRPr="001600AC">
        <w:t xml:space="preserve"> that in order to maintain adequate revenue to match inflationary increases in the </w:t>
      </w:r>
      <w:r w:rsidR="009D15B3">
        <w:t>water</w:t>
      </w:r>
      <w:r w:rsidRPr="001600AC">
        <w:t xml:space="preserve"> utility expenses, the City may, by administrative process, automatically adjust the </w:t>
      </w:r>
      <w:r w:rsidR="009D15B3">
        <w:t>water</w:t>
      </w:r>
      <w:r w:rsidRPr="001600AC">
        <w:t xml:space="preserve"> rates annually based on the increase in total </w:t>
      </w:r>
      <w:r w:rsidR="009D15B3">
        <w:t>water</w:t>
      </w:r>
      <w:r w:rsidRPr="001600AC">
        <w:t xml:space="preserve"> utility expenses caused by </w:t>
      </w:r>
      <w:r w:rsidR="009D15B3">
        <w:t>inflationary</w:t>
      </w:r>
      <w:r w:rsidRPr="001600AC">
        <w:t xml:space="preserve"> costs.  The annual rate increase by administrative process will not exceed two (2) percent.</w:t>
      </w:r>
    </w:p>
    <w:p w:rsidR="00A04D06" w:rsidRDefault="00A04D06" w:rsidP="00A04D06">
      <w:pPr>
        <w:ind w:firstLine="720"/>
        <w:rPr>
          <w:bCs/>
        </w:rPr>
      </w:pPr>
    </w:p>
    <w:p w:rsidR="00A04D06" w:rsidRDefault="00A04D06" w:rsidP="00A04D06">
      <w:pPr>
        <w:ind w:firstLine="720"/>
        <w:rPr>
          <w:b/>
          <w:bCs/>
        </w:rPr>
      </w:pPr>
      <w:r>
        <w:rPr>
          <w:b/>
          <w:bCs/>
        </w:rPr>
        <w:br w:type="page"/>
      </w:r>
    </w:p>
    <w:p w:rsidR="00A04D06" w:rsidRDefault="00A04D06" w:rsidP="00A04D06">
      <w:pPr>
        <w:ind w:firstLine="720"/>
      </w:pPr>
      <w:r>
        <w:rPr>
          <w:b/>
          <w:bCs/>
        </w:rPr>
        <w:lastRenderedPageBreak/>
        <w:t>IT IS SO RESOLVED</w:t>
      </w:r>
      <w:r>
        <w:t xml:space="preserve"> and passed this ____ day of _________201</w:t>
      </w:r>
      <w:r w:rsidR="00BD64AE">
        <w:t>5</w:t>
      </w:r>
      <w:r>
        <w:t>, by a majority of the Mosier City Council.</w:t>
      </w:r>
    </w:p>
    <w:p w:rsidR="00A04D06" w:rsidRDefault="00A04D06" w:rsidP="00A04D06"/>
    <w:p w:rsidR="00A04D06" w:rsidRDefault="00A04D06" w:rsidP="00A04D06">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A04D06" w:rsidRDefault="00A04D06" w:rsidP="00A04D06">
      <w:r>
        <w:tab/>
      </w:r>
      <w:r>
        <w:tab/>
      </w:r>
      <w:r>
        <w:tab/>
      </w:r>
      <w:r>
        <w:tab/>
      </w:r>
      <w:r>
        <w:tab/>
      </w:r>
      <w:r>
        <w:tab/>
      </w:r>
      <w:r w:rsidR="00665BCD">
        <w:t>Arlene Burns</w:t>
      </w:r>
      <w:r>
        <w:t>, Mayor</w:t>
      </w:r>
    </w:p>
    <w:p w:rsidR="00A04D06" w:rsidRDefault="00A04D06" w:rsidP="00A04D06"/>
    <w:tbl>
      <w:tblPr>
        <w:tblW w:w="0" w:type="auto"/>
        <w:tblLook w:val="0000" w:firstRow="0" w:lastRow="0" w:firstColumn="0" w:lastColumn="0" w:noHBand="0" w:noVBand="0"/>
      </w:tblPr>
      <w:tblGrid>
        <w:gridCol w:w="4500"/>
        <w:gridCol w:w="4500"/>
      </w:tblGrid>
      <w:tr w:rsidR="00A04D06" w:rsidTr="000B07F1">
        <w:tc>
          <w:tcPr>
            <w:tcW w:w="4500" w:type="dxa"/>
          </w:tcPr>
          <w:p w:rsidR="00A04D06" w:rsidRDefault="00A04D06" w:rsidP="000B07F1">
            <w:pPr>
              <w:tabs>
                <w:tab w:val="left" w:pos="1455"/>
              </w:tabs>
              <w:rPr>
                <w:sz w:val="22"/>
              </w:rPr>
            </w:pPr>
            <w:r>
              <w:rPr>
                <w:sz w:val="22"/>
              </w:rPr>
              <w:t>ATTEST:</w:t>
            </w:r>
            <w:r>
              <w:rPr>
                <w:sz w:val="22"/>
              </w:rPr>
              <w:tab/>
            </w:r>
          </w:p>
          <w:p w:rsidR="00A04D06" w:rsidRDefault="00A04D06" w:rsidP="000B07F1">
            <w:pPr>
              <w:rPr>
                <w:sz w:val="22"/>
              </w:rPr>
            </w:pPr>
          </w:p>
          <w:p w:rsidR="00A04D06" w:rsidRDefault="00A04D06" w:rsidP="000B07F1">
            <w:pPr>
              <w:rPr>
                <w:sz w:val="22"/>
              </w:rPr>
            </w:pPr>
          </w:p>
          <w:p w:rsidR="00A04D06" w:rsidRDefault="00A04D06" w:rsidP="000B07F1">
            <w:pPr>
              <w:rPr>
                <w:sz w:val="22"/>
              </w:rPr>
            </w:pPr>
          </w:p>
          <w:p w:rsidR="00A04D06" w:rsidRDefault="00A04D06" w:rsidP="000B07F1">
            <w:pPr>
              <w:rPr>
                <w:sz w:val="22"/>
              </w:rPr>
            </w:pPr>
            <w:r>
              <w:rPr>
                <w:sz w:val="22"/>
                <w:u w:val="single"/>
              </w:rPr>
              <w:tab/>
            </w:r>
            <w:r>
              <w:rPr>
                <w:sz w:val="22"/>
                <w:u w:val="single"/>
              </w:rPr>
              <w:tab/>
            </w:r>
            <w:r>
              <w:rPr>
                <w:sz w:val="22"/>
                <w:u w:val="single"/>
              </w:rPr>
              <w:tab/>
            </w:r>
            <w:r>
              <w:rPr>
                <w:sz w:val="22"/>
                <w:u w:val="single"/>
              </w:rPr>
              <w:tab/>
            </w:r>
            <w:r>
              <w:rPr>
                <w:sz w:val="22"/>
                <w:u w:val="single"/>
              </w:rPr>
              <w:tab/>
            </w:r>
          </w:p>
          <w:p w:rsidR="00A04D06" w:rsidRDefault="00A04D06" w:rsidP="000B07F1">
            <w:pPr>
              <w:rPr>
                <w:sz w:val="22"/>
              </w:rPr>
            </w:pPr>
            <w:r>
              <w:rPr>
                <w:sz w:val="22"/>
              </w:rPr>
              <w:t>Kathy Fitzpatrick, City Manager</w:t>
            </w:r>
          </w:p>
          <w:p w:rsidR="00A04D06" w:rsidRDefault="00A04D06" w:rsidP="000B07F1">
            <w:pPr>
              <w:rPr>
                <w:sz w:val="22"/>
              </w:rPr>
            </w:pPr>
          </w:p>
        </w:tc>
        <w:tc>
          <w:tcPr>
            <w:tcW w:w="4500" w:type="dxa"/>
          </w:tcPr>
          <w:p w:rsidR="00A04D06" w:rsidRDefault="00A04D06" w:rsidP="000B07F1">
            <w:pPr>
              <w:rPr>
                <w:sz w:val="22"/>
              </w:rPr>
            </w:pPr>
            <w:r>
              <w:rPr>
                <w:sz w:val="22"/>
              </w:rPr>
              <w:t>Approved as to form:</w:t>
            </w:r>
          </w:p>
          <w:p w:rsidR="00A04D06" w:rsidRDefault="00A04D06" w:rsidP="000B07F1">
            <w:pPr>
              <w:rPr>
                <w:sz w:val="22"/>
              </w:rPr>
            </w:pPr>
            <w:r>
              <w:rPr>
                <w:sz w:val="22"/>
              </w:rPr>
              <w:tab/>
            </w:r>
          </w:p>
          <w:p w:rsidR="00A04D06" w:rsidRDefault="00A04D06" w:rsidP="000B07F1">
            <w:pPr>
              <w:rPr>
                <w:sz w:val="22"/>
              </w:rPr>
            </w:pPr>
          </w:p>
          <w:p w:rsidR="00A04D06" w:rsidRDefault="00A04D06" w:rsidP="000B07F1">
            <w:pPr>
              <w:rPr>
                <w:sz w:val="22"/>
              </w:rPr>
            </w:pPr>
          </w:p>
          <w:p w:rsidR="00A04D06" w:rsidRDefault="00A04D06" w:rsidP="000B07F1">
            <w:pPr>
              <w:rPr>
                <w:sz w:val="22"/>
              </w:rPr>
            </w:pPr>
            <w:r>
              <w:rPr>
                <w:sz w:val="22"/>
                <w:u w:val="single"/>
              </w:rPr>
              <w:tab/>
            </w:r>
            <w:r>
              <w:rPr>
                <w:sz w:val="22"/>
                <w:u w:val="single"/>
              </w:rPr>
              <w:tab/>
            </w:r>
            <w:r>
              <w:rPr>
                <w:sz w:val="22"/>
                <w:u w:val="single"/>
              </w:rPr>
              <w:tab/>
            </w:r>
            <w:r>
              <w:rPr>
                <w:sz w:val="22"/>
                <w:u w:val="single"/>
              </w:rPr>
              <w:tab/>
            </w:r>
            <w:r>
              <w:rPr>
                <w:sz w:val="22"/>
                <w:u w:val="single"/>
              </w:rPr>
              <w:tab/>
            </w:r>
          </w:p>
          <w:p w:rsidR="00A04D06" w:rsidRDefault="00A04D06" w:rsidP="000B07F1">
            <w:pPr>
              <w:rPr>
                <w:sz w:val="22"/>
              </w:rPr>
            </w:pPr>
            <w:r>
              <w:rPr>
                <w:sz w:val="22"/>
              </w:rPr>
              <w:t>Daniel Kearns, City Attorney</w:t>
            </w:r>
          </w:p>
          <w:p w:rsidR="00A04D06" w:rsidRDefault="00A04D06" w:rsidP="000B07F1">
            <w:pPr>
              <w:rPr>
                <w:sz w:val="22"/>
              </w:rPr>
            </w:pPr>
          </w:p>
        </w:tc>
      </w:tr>
      <w:tr w:rsidR="00A04D06" w:rsidTr="000B07F1">
        <w:tc>
          <w:tcPr>
            <w:tcW w:w="4500" w:type="dxa"/>
          </w:tcPr>
          <w:p w:rsidR="00A04D06" w:rsidRDefault="00A04D06" w:rsidP="000B07F1">
            <w:pPr>
              <w:tabs>
                <w:tab w:val="left" w:pos="1455"/>
              </w:tabs>
              <w:rPr>
                <w:sz w:val="22"/>
              </w:rPr>
            </w:pPr>
          </w:p>
        </w:tc>
        <w:tc>
          <w:tcPr>
            <w:tcW w:w="4500" w:type="dxa"/>
          </w:tcPr>
          <w:p w:rsidR="00A04D06" w:rsidRDefault="00A04D06" w:rsidP="000B07F1">
            <w:pPr>
              <w:rPr>
                <w:sz w:val="22"/>
              </w:rPr>
            </w:pPr>
          </w:p>
        </w:tc>
      </w:tr>
    </w:tbl>
    <w:p w:rsidR="00A04D06" w:rsidRDefault="00A04D06" w:rsidP="00A04D06"/>
    <w:p w:rsidR="00A04D06" w:rsidRPr="00A04D06" w:rsidRDefault="00A04D06" w:rsidP="00A04D06"/>
    <w:p w:rsidR="00A04D06" w:rsidRPr="00A04D06" w:rsidRDefault="00A04D06" w:rsidP="00A04D06"/>
    <w:p w:rsidR="00A04D06" w:rsidRDefault="00A04D06" w:rsidP="00A04D06"/>
    <w:p w:rsidR="00A04D06" w:rsidRDefault="00A04D06" w:rsidP="00A04D06">
      <w:pPr>
        <w:tabs>
          <w:tab w:val="left" w:pos="3052"/>
        </w:tabs>
        <w:sectPr w:rsidR="00A04D06" w:rsidSect="00B37A7A">
          <w:footerReference w:type="default" r:id="rId7"/>
          <w:pgSz w:w="12240" w:h="15840" w:code="1"/>
          <w:pgMar w:top="1440" w:right="1728" w:bottom="1440" w:left="1728" w:header="720" w:footer="720" w:gutter="0"/>
          <w:cols w:space="720"/>
          <w:noEndnote/>
        </w:sectPr>
      </w:pPr>
    </w:p>
    <w:p w:rsidR="003D0CB0" w:rsidRDefault="003D0CB0" w:rsidP="00A04D06">
      <w:pPr>
        <w:rPr>
          <w:b/>
        </w:rPr>
      </w:pPr>
    </w:p>
    <w:p w:rsidR="00A04D06" w:rsidRDefault="00A04D06" w:rsidP="00A04D06">
      <w:pPr>
        <w:rPr>
          <w:b/>
        </w:rPr>
      </w:pPr>
      <w:r w:rsidRPr="00CE4047">
        <w:rPr>
          <w:b/>
        </w:rPr>
        <w:t xml:space="preserve">Effective </w:t>
      </w:r>
      <w:r w:rsidR="003D0CB0">
        <w:rPr>
          <w:b/>
        </w:rPr>
        <w:t>___________</w:t>
      </w:r>
      <w:r>
        <w:rPr>
          <w:b/>
        </w:rPr>
        <w:t>, 201</w:t>
      </w:r>
      <w:r w:rsidR="003D0CB0">
        <w:rPr>
          <w:b/>
        </w:rPr>
        <w:t>5</w:t>
      </w:r>
      <w:r w:rsidRPr="00CE4047">
        <w:rPr>
          <w:b/>
        </w:rPr>
        <w:t>:</w:t>
      </w:r>
    </w:p>
    <w:p w:rsidR="007D220B" w:rsidRDefault="007D220B" w:rsidP="00A04D06">
      <w:pPr>
        <w:rPr>
          <w:b/>
        </w:rPr>
      </w:pPr>
    </w:p>
    <w:p w:rsidR="003D0CB0" w:rsidRDefault="007D220B" w:rsidP="00A04D06">
      <w:r>
        <w:rPr>
          <w:u w:val="single"/>
        </w:rPr>
        <w:t>Fixed Rates</w:t>
      </w:r>
      <w:r>
        <w:t xml:space="preserve"> – All connections to the City water system shall pay a fee per month based on the size of the water meter serving the connection, regardless of the quantity of water consumed, according to the following table:</w:t>
      </w:r>
    </w:p>
    <w:p w:rsidR="003D0CB0" w:rsidRDefault="003D0CB0" w:rsidP="00A04D06">
      <w:pPr>
        <w:rPr>
          <w:rFonts w:asciiTheme="minorHAnsi" w:eastAsiaTheme="minorHAnsi" w:hAnsiTheme="minorHAnsi" w:cstheme="minorBidi"/>
          <w:sz w:val="22"/>
          <w:szCs w:val="22"/>
        </w:rPr>
      </w:pPr>
      <w:r>
        <w:fldChar w:fldCharType="begin"/>
      </w:r>
      <w:r>
        <w:instrText xml:space="preserve"> LINK Excel.Sheet.12 "\\\\192.168.1.102\\JGA\\JGE\\Project Documents\\Mosier\\Water System\\Financial\\2015 water rate increase.xlsx" "Sheet1!R4C1:R13C3" \a \f 4 \h  \* MERGEFORMAT </w:instrText>
      </w:r>
      <w:r>
        <w:fldChar w:fldCharType="separate"/>
      </w:r>
    </w:p>
    <w:tbl>
      <w:tblPr>
        <w:tblStyle w:val="TableGrid"/>
        <w:tblW w:w="3685" w:type="dxa"/>
        <w:tblLook w:val="04A0" w:firstRow="1" w:lastRow="0" w:firstColumn="1" w:lastColumn="0" w:noHBand="0" w:noVBand="1"/>
      </w:tblPr>
      <w:tblGrid>
        <w:gridCol w:w="1885"/>
        <w:gridCol w:w="1800"/>
      </w:tblGrid>
      <w:tr w:rsidR="003D0CB0" w:rsidRPr="003D0CB0" w:rsidTr="003D0CB0">
        <w:trPr>
          <w:trHeight w:val="312"/>
        </w:trPr>
        <w:tc>
          <w:tcPr>
            <w:tcW w:w="3685" w:type="dxa"/>
            <w:gridSpan w:val="2"/>
            <w:noWrap/>
            <w:hideMark/>
          </w:tcPr>
          <w:p w:rsidR="003D0CB0" w:rsidRPr="003D0CB0" w:rsidRDefault="003D0CB0" w:rsidP="003D0CB0">
            <w:pPr>
              <w:jc w:val="center"/>
              <w:rPr>
                <w:rFonts w:ascii="Calibri" w:hAnsi="Calibri"/>
                <w:b/>
                <w:bCs/>
                <w:color w:val="000000"/>
              </w:rPr>
            </w:pPr>
            <w:r w:rsidRPr="003D0CB0">
              <w:rPr>
                <w:rFonts w:ascii="Calibri" w:hAnsi="Calibri"/>
                <w:b/>
                <w:bCs/>
                <w:color w:val="000000"/>
              </w:rPr>
              <w:t>Fixed Water Rates</w:t>
            </w:r>
          </w:p>
        </w:tc>
      </w:tr>
      <w:tr w:rsidR="003D0CB0" w:rsidRPr="003D0CB0" w:rsidTr="003D0CB0">
        <w:trPr>
          <w:trHeight w:val="312"/>
        </w:trPr>
        <w:tc>
          <w:tcPr>
            <w:tcW w:w="1885" w:type="dxa"/>
            <w:noWrap/>
            <w:hideMark/>
          </w:tcPr>
          <w:p w:rsidR="003D0CB0" w:rsidRPr="003D0CB0" w:rsidRDefault="003D0CB0" w:rsidP="003D0CB0">
            <w:pPr>
              <w:jc w:val="center"/>
              <w:rPr>
                <w:rFonts w:ascii="Calibri" w:hAnsi="Calibri"/>
                <w:b/>
                <w:bCs/>
                <w:color w:val="000000"/>
              </w:rPr>
            </w:pPr>
            <w:r w:rsidRPr="003D0CB0">
              <w:rPr>
                <w:rFonts w:ascii="Calibri" w:hAnsi="Calibri"/>
                <w:b/>
                <w:bCs/>
                <w:color w:val="000000"/>
              </w:rPr>
              <w:t>Meter Size</w:t>
            </w:r>
          </w:p>
        </w:tc>
        <w:tc>
          <w:tcPr>
            <w:tcW w:w="1800" w:type="dxa"/>
            <w:noWrap/>
            <w:hideMark/>
          </w:tcPr>
          <w:p w:rsidR="003D0CB0" w:rsidRPr="003D0CB0" w:rsidRDefault="003D0CB0" w:rsidP="003D0CB0">
            <w:pPr>
              <w:jc w:val="right"/>
              <w:rPr>
                <w:rFonts w:ascii="Calibri" w:hAnsi="Calibri"/>
                <w:b/>
                <w:bCs/>
                <w:color w:val="000000"/>
              </w:rPr>
            </w:pPr>
            <w:r w:rsidRPr="003D0CB0">
              <w:rPr>
                <w:rFonts w:ascii="Calibri" w:hAnsi="Calibri"/>
                <w:b/>
                <w:bCs/>
                <w:color w:val="000000"/>
              </w:rPr>
              <w:t>Fixed Rate</w:t>
            </w:r>
          </w:p>
        </w:tc>
      </w:tr>
      <w:tr w:rsidR="003D0CB0" w:rsidRPr="003D0CB0" w:rsidTr="003D0CB0">
        <w:trPr>
          <w:trHeight w:val="312"/>
        </w:trPr>
        <w:tc>
          <w:tcPr>
            <w:tcW w:w="1885" w:type="dxa"/>
            <w:noWrap/>
            <w:hideMark/>
          </w:tcPr>
          <w:p w:rsidR="003D0CB0" w:rsidRPr="003D0CB0" w:rsidRDefault="003D0CB0" w:rsidP="003D0CB0">
            <w:pPr>
              <w:jc w:val="center"/>
              <w:rPr>
                <w:rFonts w:ascii="Calibri" w:hAnsi="Calibri"/>
                <w:color w:val="000000"/>
              </w:rPr>
            </w:pPr>
            <w:r w:rsidRPr="003D0CB0">
              <w:rPr>
                <w:rFonts w:ascii="Calibri" w:hAnsi="Calibri"/>
                <w:color w:val="000000"/>
              </w:rPr>
              <w:t>¾-inch</w:t>
            </w:r>
          </w:p>
        </w:tc>
        <w:tc>
          <w:tcPr>
            <w:tcW w:w="1800" w:type="dxa"/>
            <w:noWrap/>
            <w:hideMark/>
          </w:tcPr>
          <w:p w:rsidR="003D0CB0" w:rsidRPr="003D0CB0" w:rsidRDefault="003D0CB0" w:rsidP="003D0CB0">
            <w:pPr>
              <w:jc w:val="right"/>
              <w:rPr>
                <w:rFonts w:ascii="Calibri" w:hAnsi="Calibri"/>
                <w:color w:val="000000"/>
              </w:rPr>
            </w:pPr>
            <w:r w:rsidRPr="003D0CB0">
              <w:rPr>
                <w:rFonts w:ascii="Calibri" w:hAnsi="Calibri"/>
                <w:color w:val="000000"/>
              </w:rPr>
              <w:t xml:space="preserve"> $          34.21 </w:t>
            </w:r>
          </w:p>
        </w:tc>
      </w:tr>
      <w:tr w:rsidR="003D0CB0" w:rsidRPr="003D0CB0" w:rsidTr="003D0CB0">
        <w:trPr>
          <w:trHeight w:val="312"/>
        </w:trPr>
        <w:tc>
          <w:tcPr>
            <w:tcW w:w="1885" w:type="dxa"/>
            <w:noWrap/>
            <w:hideMark/>
          </w:tcPr>
          <w:p w:rsidR="003D0CB0" w:rsidRPr="003D0CB0" w:rsidRDefault="003D0CB0" w:rsidP="003D0CB0">
            <w:pPr>
              <w:jc w:val="center"/>
              <w:rPr>
                <w:rFonts w:ascii="Calibri" w:hAnsi="Calibri"/>
                <w:color w:val="000000"/>
              </w:rPr>
            </w:pPr>
            <w:r w:rsidRPr="003D0CB0">
              <w:rPr>
                <w:rFonts w:ascii="Calibri" w:hAnsi="Calibri"/>
                <w:color w:val="000000"/>
              </w:rPr>
              <w:t>1-inch</w:t>
            </w:r>
          </w:p>
        </w:tc>
        <w:tc>
          <w:tcPr>
            <w:tcW w:w="1800" w:type="dxa"/>
            <w:noWrap/>
            <w:hideMark/>
          </w:tcPr>
          <w:p w:rsidR="003D0CB0" w:rsidRPr="003D0CB0" w:rsidRDefault="003D0CB0" w:rsidP="003D0CB0">
            <w:pPr>
              <w:jc w:val="right"/>
              <w:rPr>
                <w:rFonts w:ascii="Calibri" w:hAnsi="Calibri"/>
                <w:color w:val="000000"/>
              </w:rPr>
            </w:pPr>
            <w:r w:rsidRPr="003D0CB0">
              <w:rPr>
                <w:rFonts w:ascii="Calibri" w:hAnsi="Calibri"/>
                <w:color w:val="000000"/>
              </w:rPr>
              <w:t xml:space="preserve"> $          85.52 </w:t>
            </w:r>
          </w:p>
        </w:tc>
      </w:tr>
      <w:tr w:rsidR="003D0CB0" w:rsidRPr="003D0CB0" w:rsidTr="003D0CB0">
        <w:trPr>
          <w:trHeight w:val="312"/>
        </w:trPr>
        <w:tc>
          <w:tcPr>
            <w:tcW w:w="1885" w:type="dxa"/>
            <w:noWrap/>
            <w:hideMark/>
          </w:tcPr>
          <w:p w:rsidR="003D0CB0" w:rsidRPr="003D0CB0" w:rsidRDefault="003D0CB0" w:rsidP="003D0CB0">
            <w:pPr>
              <w:jc w:val="center"/>
              <w:rPr>
                <w:rFonts w:ascii="Calibri" w:hAnsi="Calibri"/>
                <w:color w:val="000000"/>
              </w:rPr>
            </w:pPr>
            <w:r w:rsidRPr="003D0CB0">
              <w:rPr>
                <w:rFonts w:ascii="Calibri" w:hAnsi="Calibri"/>
                <w:color w:val="000000"/>
              </w:rPr>
              <w:t>1 ½-inch</w:t>
            </w:r>
          </w:p>
        </w:tc>
        <w:tc>
          <w:tcPr>
            <w:tcW w:w="1800" w:type="dxa"/>
            <w:noWrap/>
            <w:hideMark/>
          </w:tcPr>
          <w:p w:rsidR="003D0CB0" w:rsidRPr="003D0CB0" w:rsidRDefault="003D0CB0" w:rsidP="003D0CB0">
            <w:pPr>
              <w:jc w:val="right"/>
              <w:rPr>
                <w:rFonts w:ascii="Calibri" w:hAnsi="Calibri"/>
                <w:color w:val="000000"/>
              </w:rPr>
            </w:pPr>
            <w:r w:rsidRPr="003D0CB0">
              <w:rPr>
                <w:rFonts w:ascii="Calibri" w:hAnsi="Calibri"/>
                <w:color w:val="000000"/>
              </w:rPr>
              <w:t xml:space="preserve"> $        171.03 </w:t>
            </w:r>
          </w:p>
        </w:tc>
      </w:tr>
      <w:tr w:rsidR="003D0CB0" w:rsidRPr="003D0CB0" w:rsidTr="003D0CB0">
        <w:trPr>
          <w:trHeight w:val="312"/>
        </w:trPr>
        <w:tc>
          <w:tcPr>
            <w:tcW w:w="1885" w:type="dxa"/>
            <w:noWrap/>
            <w:hideMark/>
          </w:tcPr>
          <w:p w:rsidR="003D0CB0" w:rsidRPr="003D0CB0" w:rsidRDefault="003D0CB0" w:rsidP="003D0CB0">
            <w:pPr>
              <w:jc w:val="center"/>
              <w:rPr>
                <w:rFonts w:ascii="Calibri" w:hAnsi="Calibri"/>
                <w:color w:val="000000"/>
              </w:rPr>
            </w:pPr>
            <w:r w:rsidRPr="003D0CB0">
              <w:rPr>
                <w:rFonts w:ascii="Calibri" w:hAnsi="Calibri"/>
                <w:color w:val="000000"/>
              </w:rPr>
              <w:t>2-inch</w:t>
            </w:r>
          </w:p>
        </w:tc>
        <w:tc>
          <w:tcPr>
            <w:tcW w:w="1800" w:type="dxa"/>
            <w:noWrap/>
            <w:hideMark/>
          </w:tcPr>
          <w:p w:rsidR="003D0CB0" w:rsidRPr="003D0CB0" w:rsidRDefault="003D0CB0" w:rsidP="003D0CB0">
            <w:pPr>
              <w:jc w:val="right"/>
              <w:rPr>
                <w:rFonts w:ascii="Calibri" w:hAnsi="Calibri"/>
                <w:color w:val="000000"/>
              </w:rPr>
            </w:pPr>
            <w:r w:rsidRPr="003D0CB0">
              <w:rPr>
                <w:rFonts w:ascii="Calibri" w:hAnsi="Calibri"/>
                <w:color w:val="000000"/>
              </w:rPr>
              <w:t xml:space="preserve"> $        272.62 </w:t>
            </w:r>
          </w:p>
        </w:tc>
      </w:tr>
      <w:tr w:rsidR="003D0CB0" w:rsidRPr="003D0CB0" w:rsidTr="003D0CB0">
        <w:trPr>
          <w:trHeight w:val="312"/>
        </w:trPr>
        <w:tc>
          <w:tcPr>
            <w:tcW w:w="1885" w:type="dxa"/>
            <w:noWrap/>
            <w:hideMark/>
          </w:tcPr>
          <w:p w:rsidR="003D0CB0" w:rsidRPr="003D0CB0" w:rsidRDefault="003D0CB0" w:rsidP="003D0CB0">
            <w:pPr>
              <w:jc w:val="center"/>
              <w:rPr>
                <w:rFonts w:ascii="Calibri" w:hAnsi="Calibri"/>
                <w:color w:val="000000"/>
              </w:rPr>
            </w:pPr>
            <w:r w:rsidRPr="003D0CB0">
              <w:rPr>
                <w:rFonts w:ascii="Calibri" w:hAnsi="Calibri"/>
                <w:color w:val="000000"/>
              </w:rPr>
              <w:t>3-inch</w:t>
            </w:r>
          </w:p>
        </w:tc>
        <w:tc>
          <w:tcPr>
            <w:tcW w:w="1800" w:type="dxa"/>
            <w:noWrap/>
            <w:hideMark/>
          </w:tcPr>
          <w:p w:rsidR="003D0CB0" w:rsidRPr="003D0CB0" w:rsidRDefault="003D0CB0" w:rsidP="003D0CB0">
            <w:pPr>
              <w:jc w:val="right"/>
              <w:rPr>
                <w:rFonts w:ascii="Calibri" w:hAnsi="Calibri"/>
                <w:color w:val="000000"/>
              </w:rPr>
            </w:pPr>
            <w:r w:rsidRPr="003D0CB0">
              <w:rPr>
                <w:rFonts w:ascii="Calibri" w:hAnsi="Calibri"/>
                <w:color w:val="000000"/>
              </w:rPr>
              <w:t xml:space="preserve"> $        547.30 </w:t>
            </w:r>
          </w:p>
        </w:tc>
      </w:tr>
      <w:tr w:rsidR="003D0CB0" w:rsidRPr="003D0CB0" w:rsidTr="003D0CB0">
        <w:trPr>
          <w:trHeight w:val="312"/>
        </w:trPr>
        <w:tc>
          <w:tcPr>
            <w:tcW w:w="1885" w:type="dxa"/>
            <w:noWrap/>
            <w:hideMark/>
          </w:tcPr>
          <w:p w:rsidR="003D0CB0" w:rsidRPr="003D0CB0" w:rsidRDefault="003D0CB0" w:rsidP="003D0CB0">
            <w:pPr>
              <w:jc w:val="center"/>
              <w:rPr>
                <w:rFonts w:ascii="Calibri" w:hAnsi="Calibri"/>
                <w:color w:val="000000"/>
              </w:rPr>
            </w:pPr>
            <w:r w:rsidRPr="003D0CB0">
              <w:rPr>
                <w:rFonts w:ascii="Calibri" w:hAnsi="Calibri"/>
                <w:color w:val="000000"/>
              </w:rPr>
              <w:t>4-inch</w:t>
            </w:r>
          </w:p>
        </w:tc>
        <w:tc>
          <w:tcPr>
            <w:tcW w:w="1800" w:type="dxa"/>
            <w:noWrap/>
            <w:hideMark/>
          </w:tcPr>
          <w:p w:rsidR="003D0CB0" w:rsidRPr="003D0CB0" w:rsidRDefault="003D0CB0" w:rsidP="003D0CB0">
            <w:pPr>
              <w:jc w:val="right"/>
              <w:rPr>
                <w:rFonts w:ascii="Calibri" w:hAnsi="Calibri"/>
                <w:color w:val="000000"/>
              </w:rPr>
            </w:pPr>
            <w:r w:rsidRPr="003D0CB0">
              <w:rPr>
                <w:rFonts w:ascii="Calibri" w:hAnsi="Calibri"/>
                <w:color w:val="000000"/>
              </w:rPr>
              <w:t xml:space="preserve"> $        855.16 </w:t>
            </w:r>
          </w:p>
        </w:tc>
      </w:tr>
      <w:tr w:rsidR="003D0CB0" w:rsidRPr="003D0CB0" w:rsidTr="003D0CB0">
        <w:trPr>
          <w:trHeight w:val="312"/>
        </w:trPr>
        <w:tc>
          <w:tcPr>
            <w:tcW w:w="1885" w:type="dxa"/>
            <w:noWrap/>
            <w:hideMark/>
          </w:tcPr>
          <w:p w:rsidR="003D0CB0" w:rsidRPr="003D0CB0" w:rsidRDefault="003D0CB0" w:rsidP="003D0CB0">
            <w:pPr>
              <w:jc w:val="center"/>
              <w:rPr>
                <w:rFonts w:ascii="Calibri" w:hAnsi="Calibri"/>
                <w:color w:val="000000"/>
              </w:rPr>
            </w:pPr>
            <w:r w:rsidRPr="003D0CB0">
              <w:rPr>
                <w:rFonts w:ascii="Calibri" w:hAnsi="Calibri"/>
                <w:color w:val="000000"/>
              </w:rPr>
              <w:t>6-inch</w:t>
            </w:r>
          </w:p>
        </w:tc>
        <w:tc>
          <w:tcPr>
            <w:tcW w:w="1800" w:type="dxa"/>
            <w:noWrap/>
            <w:hideMark/>
          </w:tcPr>
          <w:p w:rsidR="003D0CB0" w:rsidRPr="003D0CB0" w:rsidRDefault="003D0CB0" w:rsidP="003D0CB0">
            <w:pPr>
              <w:jc w:val="right"/>
              <w:rPr>
                <w:rFonts w:ascii="Calibri" w:hAnsi="Calibri"/>
                <w:color w:val="000000"/>
              </w:rPr>
            </w:pPr>
            <w:r w:rsidRPr="003D0CB0">
              <w:rPr>
                <w:rFonts w:ascii="Calibri" w:hAnsi="Calibri"/>
                <w:color w:val="000000"/>
              </w:rPr>
              <w:t xml:space="preserve"> $     1,710.32 </w:t>
            </w:r>
          </w:p>
        </w:tc>
      </w:tr>
      <w:tr w:rsidR="003D0CB0" w:rsidRPr="003D0CB0" w:rsidTr="003D0CB0">
        <w:trPr>
          <w:trHeight w:val="312"/>
        </w:trPr>
        <w:tc>
          <w:tcPr>
            <w:tcW w:w="1885" w:type="dxa"/>
            <w:noWrap/>
            <w:hideMark/>
          </w:tcPr>
          <w:p w:rsidR="003D0CB0" w:rsidRPr="003D0CB0" w:rsidRDefault="003D0CB0" w:rsidP="003D0CB0">
            <w:pPr>
              <w:jc w:val="center"/>
              <w:rPr>
                <w:rFonts w:ascii="Calibri" w:hAnsi="Calibri"/>
                <w:color w:val="000000"/>
              </w:rPr>
            </w:pPr>
            <w:r w:rsidRPr="003D0CB0">
              <w:rPr>
                <w:rFonts w:ascii="Calibri" w:hAnsi="Calibri"/>
                <w:color w:val="000000"/>
              </w:rPr>
              <w:t>8-inch</w:t>
            </w:r>
          </w:p>
        </w:tc>
        <w:tc>
          <w:tcPr>
            <w:tcW w:w="1800" w:type="dxa"/>
            <w:noWrap/>
            <w:hideMark/>
          </w:tcPr>
          <w:p w:rsidR="003D0CB0" w:rsidRPr="003D0CB0" w:rsidRDefault="003D0CB0" w:rsidP="003D0CB0">
            <w:pPr>
              <w:jc w:val="right"/>
              <w:rPr>
                <w:rFonts w:ascii="Calibri" w:hAnsi="Calibri"/>
                <w:color w:val="000000"/>
              </w:rPr>
            </w:pPr>
            <w:r w:rsidRPr="003D0CB0">
              <w:rPr>
                <w:rFonts w:ascii="Calibri" w:hAnsi="Calibri"/>
                <w:color w:val="000000"/>
              </w:rPr>
              <w:t xml:space="preserve"> $     2,736.50 </w:t>
            </w:r>
          </w:p>
        </w:tc>
      </w:tr>
    </w:tbl>
    <w:p w:rsidR="00A04D06" w:rsidRDefault="003D0CB0" w:rsidP="00A04D06">
      <w:r>
        <w:fldChar w:fldCharType="end"/>
      </w:r>
    </w:p>
    <w:p w:rsidR="003D0CB0" w:rsidRDefault="003D0CB0" w:rsidP="003D0CB0">
      <w:pPr>
        <w:spacing w:after="200"/>
        <w:rPr>
          <w:rFonts w:asciiTheme="minorHAnsi" w:eastAsiaTheme="minorHAnsi" w:hAnsiTheme="minorHAnsi" w:cstheme="minorBidi"/>
          <w:sz w:val="22"/>
          <w:szCs w:val="22"/>
        </w:rPr>
      </w:pPr>
      <w:r>
        <w:rPr>
          <w:u w:val="single"/>
        </w:rPr>
        <w:t>Volume Rates</w:t>
      </w:r>
      <w:r>
        <w:t xml:space="preserve"> – In addition the above-mentioned fixed monthly rates, all connections to the City water system shall pay the following additional fees based on the amount of metered water consumption:</w:t>
      </w:r>
      <w:r>
        <w:fldChar w:fldCharType="begin"/>
      </w:r>
      <w:r>
        <w:instrText xml:space="preserve"> LINK Excel.Sheet.12 "\\\\192.168.1.102\\JGA\\JGE\\Project Documents\\Mosier\\Water System\\Financial\\2015 water rate increase.xlsx" "Sheet1!R4C5:R8C7" \a \f 5 \h  \* MERGEFORMAT </w:instrText>
      </w:r>
      <w:r>
        <w:fldChar w:fldCharType="separate"/>
      </w:r>
    </w:p>
    <w:tbl>
      <w:tblPr>
        <w:tblStyle w:val="TableGrid"/>
        <w:tblW w:w="5763" w:type="dxa"/>
        <w:tblLook w:val="0420" w:firstRow="1" w:lastRow="0" w:firstColumn="0" w:lastColumn="0" w:noHBand="0" w:noVBand="1"/>
      </w:tblPr>
      <w:tblGrid>
        <w:gridCol w:w="3006"/>
        <w:gridCol w:w="2757"/>
      </w:tblGrid>
      <w:tr w:rsidR="003D0CB0" w:rsidRPr="003D0CB0" w:rsidTr="003D0CB0">
        <w:trPr>
          <w:trHeight w:val="312"/>
        </w:trPr>
        <w:tc>
          <w:tcPr>
            <w:tcW w:w="5763" w:type="dxa"/>
            <w:gridSpan w:val="2"/>
            <w:noWrap/>
            <w:hideMark/>
          </w:tcPr>
          <w:p w:rsidR="003D0CB0" w:rsidRPr="003D0CB0" w:rsidRDefault="003D0CB0" w:rsidP="003D0CB0">
            <w:pPr>
              <w:spacing w:after="200"/>
              <w:rPr>
                <w:b/>
                <w:bCs/>
              </w:rPr>
            </w:pPr>
            <w:r w:rsidRPr="003D0CB0">
              <w:rPr>
                <w:b/>
                <w:bCs/>
              </w:rPr>
              <w:t>Volume Rates</w:t>
            </w:r>
          </w:p>
        </w:tc>
      </w:tr>
      <w:tr w:rsidR="003D0CB0" w:rsidRPr="003D0CB0" w:rsidTr="003D0CB0">
        <w:trPr>
          <w:trHeight w:val="312"/>
        </w:trPr>
        <w:tc>
          <w:tcPr>
            <w:tcW w:w="3006" w:type="dxa"/>
            <w:noWrap/>
            <w:hideMark/>
          </w:tcPr>
          <w:p w:rsidR="003D0CB0" w:rsidRPr="003D0CB0" w:rsidRDefault="003D0CB0" w:rsidP="003D0CB0">
            <w:pPr>
              <w:spacing w:after="200"/>
              <w:rPr>
                <w:b/>
                <w:bCs/>
              </w:rPr>
            </w:pPr>
            <w:r w:rsidRPr="003D0CB0">
              <w:rPr>
                <w:b/>
                <w:bCs/>
              </w:rPr>
              <w:t xml:space="preserve">Consumption Range </w:t>
            </w:r>
          </w:p>
        </w:tc>
        <w:tc>
          <w:tcPr>
            <w:tcW w:w="2757" w:type="dxa"/>
            <w:noWrap/>
            <w:hideMark/>
          </w:tcPr>
          <w:p w:rsidR="003D0CB0" w:rsidRPr="003D0CB0" w:rsidRDefault="003D0CB0" w:rsidP="003D0CB0">
            <w:pPr>
              <w:spacing w:after="200"/>
              <w:rPr>
                <w:b/>
                <w:bCs/>
              </w:rPr>
            </w:pPr>
            <w:r>
              <w:rPr>
                <w:b/>
                <w:bCs/>
              </w:rPr>
              <w:t>V</w:t>
            </w:r>
            <w:r w:rsidRPr="003D0CB0">
              <w:rPr>
                <w:b/>
                <w:bCs/>
              </w:rPr>
              <w:t>olume Rate</w:t>
            </w:r>
          </w:p>
        </w:tc>
      </w:tr>
      <w:tr w:rsidR="003D0CB0" w:rsidRPr="003D0CB0" w:rsidTr="003D0CB0">
        <w:trPr>
          <w:trHeight w:val="312"/>
        </w:trPr>
        <w:tc>
          <w:tcPr>
            <w:tcW w:w="3006" w:type="dxa"/>
            <w:noWrap/>
            <w:hideMark/>
          </w:tcPr>
          <w:p w:rsidR="003D0CB0" w:rsidRPr="003D0CB0" w:rsidRDefault="003D0CB0" w:rsidP="003D0CB0">
            <w:pPr>
              <w:spacing w:after="200"/>
            </w:pPr>
            <w:r w:rsidRPr="003D0CB0">
              <w:t>0 to 6,000 gallons</w:t>
            </w:r>
          </w:p>
        </w:tc>
        <w:tc>
          <w:tcPr>
            <w:tcW w:w="2757" w:type="dxa"/>
            <w:noWrap/>
            <w:hideMark/>
          </w:tcPr>
          <w:p w:rsidR="003D0CB0" w:rsidRPr="003D0CB0" w:rsidRDefault="003D0CB0" w:rsidP="003D0CB0">
            <w:pPr>
              <w:spacing w:after="200"/>
            </w:pPr>
            <w:r w:rsidRPr="003D0CB0">
              <w:t>$1.55 per 1,000 gallons</w:t>
            </w:r>
          </w:p>
        </w:tc>
      </w:tr>
      <w:tr w:rsidR="003D0CB0" w:rsidRPr="003D0CB0" w:rsidTr="003D0CB0">
        <w:trPr>
          <w:trHeight w:val="312"/>
        </w:trPr>
        <w:tc>
          <w:tcPr>
            <w:tcW w:w="3006" w:type="dxa"/>
            <w:noWrap/>
            <w:hideMark/>
          </w:tcPr>
          <w:p w:rsidR="003D0CB0" w:rsidRPr="003D0CB0" w:rsidRDefault="003D0CB0" w:rsidP="003D0CB0">
            <w:pPr>
              <w:spacing w:after="200"/>
            </w:pPr>
            <w:r w:rsidRPr="003D0CB0">
              <w:t>6,001 to 14,000 gallons</w:t>
            </w:r>
          </w:p>
        </w:tc>
        <w:tc>
          <w:tcPr>
            <w:tcW w:w="2757" w:type="dxa"/>
            <w:noWrap/>
            <w:hideMark/>
          </w:tcPr>
          <w:p w:rsidR="003D0CB0" w:rsidRPr="003D0CB0" w:rsidRDefault="003D0CB0" w:rsidP="003D0CB0">
            <w:pPr>
              <w:spacing w:after="200"/>
            </w:pPr>
            <w:r w:rsidRPr="003D0CB0">
              <w:t>$2.06 per 1,000 gallons</w:t>
            </w:r>
          </w:p>
        </w:tc>
      </w:tr>
      <w:tr w:rsidR="003D0CB0" w:rsidRPr="003D0CB0" w:rsidTr="003D0CB0">
        <w:trPr>
          <w:trHeight w:val="312"/>
        </w:trPr>
        <w:tc>
          <w:tcPr>
            <w:tcW w:w="3006" w:type="dxa"/>
            <w:noWrap/>
            <w:hideMark/>
          </w:tcPr>
          <w:p w:rsidR="003D0CB0" w:rsidRPr="003D0CB0" w:rsidRDefault="003D0CB0" w:rsidP="003D0CB0">
            <w:pPr>
              <w:spacing w:after="200"/>
            </w:pPr>
            <w:r w:rsidRPr="003D0CB0">
              <w:t>14,000 gallons and above</w:t>
            </w:r>
          </w:p>
        </w:tc>
        <w:tc>
          <w:tcPr>
            <w:tcW w:w="2757" w:type="dxa"/>
            <w:noWrap/>
            <w:hideMark/>
          </w:tcPr>
          <w:p w:rsidR="003D0CB0" w:rsidRPr="003D0CB0" w:rsidRDefault="003D0CB0" w:rsidP="003D0CB0">
            <w:pPr>
              <w:spacing w:after="200"/>
            </w:pPr>
            <w:r w:rsidRPr="003D0CB0">
              <w:t>$2.58 per 1,000 gallons</w:t>
            </w:r>
          </w:p>
        </w:tc>
      </w:tr>
    </w:tbl>
    <w:p w:rsidR="003D0CB0" w:rsidRDefault="003D0CB0" w:rsidP="003D0CB0">
      <w:pPr>
        <w:spacing w:after="200"/>
      </w:pPr>
      <w:r>
        <w:fldChar w:fldCharType="end"/>
      </w:r>
    </w:p>
    <w:p w:rsidR="00A04D06" w:rsidRDefault="00A04D06" w:rsidP="00A04D06">
      <w:r>
        <w:t xml:space="preserve">These rates will be billed per month per </w:t>
      </w:r>
      <w:r w:rsidR="007D220B">
        <w:t>water</w:t>
      </w:r>
      <w:r>
        <w:t xml:space="preserve"> connection.  There will be no “turn-off” rates available for non-use.  For new construction, rates are in effect upon installation of the water meter.</w:t>
      </w:r>
    </w:p>
    <w:sectPr w:rsidR="00A04D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DB" w:rsidRDefault="00CF6EDB" w:rsidP="00A04D06">
      <w:r>
        <w:separator/>
      </w:r>
    </w:p>
  </w:endnote>
  <w:endnote w:type="continuationSeparator" w:id="0">
    <w:p w:rsidR="00CF6EDB" w:rsidRDefault="00CF6EDB" w:rsidP="00A0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20" w:rsidRDefault="00BD64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11543">
      <w:rPr>
        <w:rStyle w:val="PageNumber"/>
        <w:noProof/>
      </w:rPr>
      <w:t>4</w:t>
    </w:r>
    <w:r>
      <w:rPr>
        <w:rStyle w:val="PageNumber"/>
      </w:rPr>
      <w:fldChar w:fldCharType="end"/>
    </w:r>
    <w:r>
      <w:rPr>
        <w:rStyle w:val="PageNumber"/>
      </w:rPr>
      <w:t xml:space="preserve"> – RESOLUTION</w:t>
    </w:r>
    <w:r>
      <w:rPr>
        <w:rStyle w:val="PageNumber"/>
      </w:rPr>
      <w:tab/>
    </w:r>
    <w:r>
      <w:rPr>
        <w:rStyle w:val="PageNumber"/>
      </w:rPr>
      <w:tab/>
      <w:t>(</w:t>
    </w:r>
    <w:r w:rsidR="00A04D06">
      <w:rPr>
        <w:rStyle w:val="PageNumber"/>
      </w:rPr>
      <w:t>Water</w:t>
    </w:r>
    <w:r>
      <w:rPr>
        <w:rStyle w:val="PageNumber"/>
      </w:rPr>
      <w:t xml:space="preserve"> Utility Rate Increase)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DB" w:rsidRDefault="00CF6EDB" w:rsidP="00A04D06">
      <w:r>
        <w:separator/>
      </w:r>
    </w:p>
  </w:footnote>
  <w:footnote w:type="continuationSeparator" w:id="0">
    <w:p w:rsidR="00CF6EDB" w:rsidRDefault="00CF6EDB" w:rsidP="00A04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06" w:rsidRDefault="00A04D06">
    <w:pPr>
      <w:pStyle w:val="Header"/>
    </w:pPr>
    <w:r>
      <w:t>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E9"/>
    <w:rsid w:val="0009732F"/>
    <w:rsid w:val="001600AC"/>
    <w:rsid w:val="003B304A"/>
    <w:rsid w:val="003D0CB0"/>
    <w:rsid w:val="00551DE4"/>
    <w:rsid w:val="00665BCD"/>
    <w:rsid w:val="00707F9C"/>
    <w:rsid w:val="007D220B"/>
    <w:rsid w:val="009454D7"/>
    <w:rsid w:val="009D15B3"/>
    <w:rsid w:val="00A04D06"/>
    <w:rsid w:val="00AE65E9"/>
    <w:rsid w:val="00BD64AE"/>
    <w:rsid w:val="00CB08FA"/>
    <w:rsid w:val="00CF6EDB"/>
    <w:rsid w:val="00DE0D47"/>
    <w:rsid w:val="00E1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9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04D06"/>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04D06"/>
    <w:rPr>
      <w:rFonts w:ascii="Times New Roman" w:eastAsia="Times New Roman" w:hAnsi="Times New Roman" w:cs="Times New Roman"/>
      <w:b/>
      <w:bCs/>
      <w:szCs w:val="24"/>
    </w:rPr>
  </w:style>
  <w:style w:type="paragraph" w:styleId="Footer">
    <w:name w:val="footer"/>
    <w:basedOn w:val="Normal"/>
    <w:link w:val="FooterChar"/>
    <w:semiHidden/>
    <w:rsid w:val="00A04D06"/>
    <w:pPr>
      <w:tabs>
        <w:tab w:val="center" w:pos="4320"/>
        <w:tab w:val="right" w:pos="8640"/>
      </w:tabs>
    </w:pPr>
  </w:style>
  <w:style w:type="character" w:customStyle="1" w:styleId="FooterChar">
    <w:name w:val="Footer Char"/>
    <w:basedOn w:val="DefaultParagraphFont"/>
    <w:link w:val="Footer"/>
    <w:semiHidden/>
    <w:rsid w:val="00A04D06"/>
    <w:rPr>
      <w:rFonts w:ascii="Times New Roman" w:eastAsia="Times New Roman" w:hAnsi="Times New Roman" w:cs="Times New Roman"/>
      <w:sz w:val="24"/>
      <w:szCs w:val="24"/>
    </w:rPr>
  </w:style>
  <w:style w:type="character" w:styleId="PageNumber">
    <w:name w:val="page number"/>
    <w:basedOn w:val="DefaultParagraphFont"/>
    <w:semiHidden/>
    <w:rsid w:val="00A04D06"/>
  </w:style>
  <w:style w:type="table" w:styleId="TableGrid">
    <w:name w:val="Table Grid"/>
    <w:basedOn w:val="TableNormal"/>
    <w:uiPriority w:val="39"/>
    <w:rsid w:val="00A0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4D06"/>
    <w:pPr>
      <w:tabs>
        <w:tab w:val="center" w:pos="4680"/>
        <w:tab w:val="right" w:pos="9360"/>
      </w:tabs>
    </w:pPr>
  </w:style>
  <w:style w:type="character" w:customStyle="1" w:styleId="HeaderChar">
    <w:name w:val="Header Char"/>
    <w:basedOn w:val="DefaultParagraphFont"/>
    <w:link w:val="Header"/>
    <w:uiPriority w:val="99"/>
    <w:rsid w:val="00A04D0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9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04D06"/>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04D06"/>
    <w:rPr>
      <w:rFonts w:ascii="Times New Roman" w:eastAsia="Times New Roman" w:hAnsi="Times New Roman" w:cs="Times New Roman"/>
      <w:b/>
      <w:bCs/>
      <w:szCs w:val="24"/>
    </w:rPr>
  </w:style>
  <w:style w:type="paragraph" w:styleId="Footer">
    <w:name w:val="footer"/>
    <w:basedOn w:val="Normal"/>
    <w:link w:val="FooterChar"/>
    <w:semiHidden/>
    <w:rsid w:val="00A04D06"/>
    <w:pPr>
      <w:tabs>
        <w:tab w:val="center" w:pos="4320"/>
        <w:tab w:val="right" w:pos="8640"/>
      </w:tabs>
    </w:pPr>
  </w:style>
  <w:style w:type="character" w:customStyle="1" w:styleId="FooterChar">
    <w:name w:val="Footer Char"/>
    <w:basedOn w:val="DefaultParagraphFont"/>
    <w:link w:val="Footer"/>
    <w:semiHidden/>
    <w:rsid w:val="00A04D06"/>
    <w:rPr>
      <w:rFonts w:ascii="Times New Roman" w:eastAsia="Times New Roman" w:hAnsi="Times New Roman" w:cs="Times New Roman"/>
      <w:sz w:val="24"/>
      <w:szCs w:val="24"/>
    </w:rPr>
  </w:style>
  <w:style w:type="character" w:styleId="PageNumber">
    <w:name w:val="page number"/>
    <w:basedOn w:val="DefaultParagraphFont"/>
    <w:semiHidden/>
    <w:rsid w:val="00A04D06"/>
  </w:style>
  <w:style w:type="table" w:styleId="TableGrid">
    <w:name w:val="Table Grid"/>
    <w:basedOn w:val="TableNormal"/>
    <w:uiPriority w:val="39"/>
    <w:rsid w:val="00A0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4D06"/>
    <w:pPr>
      <w:tabs>
        <w:tab w:val="center" w:pos="4680"/>
        <w:tab w:val="right" w:pos="9360"/>
      </w:tabs>
    </w:pPr>
  </w:style>
  <w:style w:type="character" w:customStyle="1" w:styleId="HeaderChar">
    <w:name w:val="Header Char"/>
    <w:basedOn w:val="DefaultParagraphFont"/>
    <w:link w:val="Header"/>
    <w:uiPriority w:val="99"/>
    <w:rsid w:val="00A04D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7848">
      <w:bodyDiv w:val="1"/>
      <w:marLeft w:val="0"/>
      <w:marRight w:val="0"/>
      <w:marTop w:val="0"/>
      <w:marBottom w:val="0"/>
      <w:divBdr>
        <w:top w:val="none" w:sz="0" w:space="0" w:color="auto"/>
        <w:left w:val="none" w:sz="0" w:space="0" w:color="auto"/>
        <w:bottom w:val="none" w:sz="0" w:space="0" w:color="auto"/>
        <w:right w:val="none" w:sz="0" w:space="0" w:color="auto"/>
      </w:divBdr>
    </w:div>
    <w:div w:id="1795783749">
      <w:bodyDiv w:val="1"/>
      <w:marLeft w:val="0"/>
      <w:marRight w:val="0"/>
      <w:marTop w:val="0"/>
      <w:marBottom w:val="0"/>
      <w:divBdr>
        <w:top w:val="none" w:sz="0" w:space="0" w:color="auto"/>
        <w:left w:val="none" w:sz="0" w:space="0" w:color="auto"/>
        <w:bottom w:val="none" w:sz="0" w:space="0" w:color="auto"/>
        <w:right w:val="none" w:sz="0" w:space="0" w:color="auto"/>
      </w:divBdr>
    </w:div>
    <w:div w:id="20506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Grim</dc:creator>
  <cp:keywords/>
  <dc:description/>
  <cp:lastModifiedBy>Kathy</cp:lastModifiedBy>
  <cp:revision>15</cp:revision>
  <dcterms:created xsi:type="dcterms:W3CDTF">2015-04-13T15:49:00Z</dcterms:created>
  <dcterms:modified xsi:type="dcterms:W3CDTF">2015-04-17T23:40:00Z</dcterms:modified>
</cp:coreProperties>
</file>