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EAC0F" w14:textId="77777777" w:rsidR="00B11E20" w:rsidRDefault="00982853">
      <w:pPr>
        <w:jc w:val="center"/>
        <w:rPr>
          <w:b/>
          <w:bCs/>
          <w:sz w:val="28"/>
        </w:rPr>
      </w:pPr>
      <w:r>
        <w:rPr>
          <w:b/>
          <w:bCs/>
          <w:sz w:val="28"/>
        </w:rPr>
        <w:t xml:space="preserve">BEFORE THE CITY COUNCIL </w:t>
      </w:r>
    </w:p>
    <w:p w14:paraId="16CB6C15" w14:textId="77777777" w:rsidR="00B11E20" w:rsidRDefault="00982853">
      <w:pPr>
        <w:jc w:val="center"/>
        <w:rPr>
          <w:b/>
          <w:bCs/>
          <w:sz w:val="28"/>
        </w:rPr>
      </w:pPr>
      <w:r>
        <w:rPr>
          <w:b/>
          <w:bCs/>
          <w:sz w:val="28"/>
        </w:rPr>
        <w:t>FOR THE CITY OF MOSIER, OREGON</w:t>
      </w:r>
    </w:p>
    <w:p w14:paraId="14FE10B0" w14:textId="77777777" w:rsidR="00B11E20" w:rsidRDefault="00B11E20"/>
    <w:p w14:paraId="71D2E61C" w14:textId="77777777" w:rsidR="00B11E20" w:rsidRDefault="00982853">
      <w:pPr>
        <w:jc w:val="center"/>
        <w:rPr>
          <w:b/>
          <w:bCs/>
          <w:sz w:val="28"/>
          <w:szCs w:val="32"/>
        </w:rPr>
      </w:pPr>
      <w:r>
        <w:rPr>
          <w:b/>
          <w:bCs/>
          <w:sz w:val="28"/>
          <w:szCs w:val="32"/>
        </w:rPr>
        <w:t>Resolution No. 20</w:t>
      </w:r>
      <w:r w:rsidR="002107C6">
        <w:rPr>
          <w:b/>
          <w:bCs/>
          <w:sz w:val="28"/>
          <w:szCs w:val="32"/>
        </w:rPr>
        <w:t>14</w:t>
      </w:r>
      <w:r>
        <w:rPr>
          <w:b/>
          <w:bCs/>
          <w:sz w:val="28"/>
          <w:szCs w:val="32"/>
        </w:rPr>
        <w:t>-</w:t>
      </w:r>
      <w:r w:rsidR="002107C6">
        <w:rPr>
          <w:b/>
          <w:bCs/>
          <w:sz w:val="28"/>
          <w:szCs w:val="32"/>
        </w:rPr>
        <w:t>07</w:t>
      </w:r>
    </w:p>
    <w:p w14:paraId="42D2A686" w14:textId="77777777" w:rsidR="00B11E20" w:rsidRDefault="00B11E20">
      <w:pPr>
        <w:rPr>
          <w:b/>
        </w:rPr>
      </w:pPr>
    </w:p>
    <w:p w14:paraId="264B4151" w14:textId="09B2D96B" w:rsidR="00B11E20" w:rsidRDefault="00982853">
      <w:pPr>
        <w:jc w:val="center"/>
        <w:rPr>
          <w:b/>
        </w:rPr>
      </w:pPr>
      <w:r>
        <w:rPr>
          <w:b/>
        </w:rPr>
        <w:t>A Resolution Repealing Resolution 2008-09 and Adopting a New Schedule of Rates  for All Users of the City Sewer Utility</w:t>
      </w:r>
    </w:p>
    <w:p w14:paraId="301583B6" w14:textId="77777777" w:rsidR="00B11E20" w:rsidRDefault="00B11E20"/>
    <w:p w14:paraId="446ABB4D" w14:textId="77777777" w:rsidR="00B11E20" w:rsidRDefault="00982853">
      <w:r>
        <w:tab/>
        <w:t>The Mosier City Council makes the following findings:</w:t>
      </w:r>
    </w:p>
    <w:p w14:paraId="4DA05F2D" w14:textId="77777777" w:rsidR="00B11E20" w:rsidRDefault="00B11E20"/>
    <w:p w14:paraId="1C7011E6" w14:textId="77777777" w:rsidR="00B11E20" w:rsidRDefault="00982853">
      <w:pPr>
        <w:rPr>
          <w:iCs/>
        </w:rPr>
      </w:pPr>
      <w:r>
        <w:rPr>
          <w:b/>
          <w:bCs/>
        </w:rPr>
        <w:tab/>
        <w:t>WHEREAS</w:t>
      </w:r>
      <w:r>
        <w:t xml:space="preserve">, pursuant to </w:t>
      </w:r>
      <w:r w:rsidR="002107C6">
        <w:t xml:space="preserve">City’s Municipal Sewer Code – Chapters 11.02.050 and 11.02.430, </w:t>
      </w:r>
      <w:r>
        <w:t xml:space="preserve">the City Council is authorized to establish, and from time to time revise, </w:t>
      </w:r>
      <w:r w:rsidR="002107C6">
        <w:t xml:space="preserve">customer </w:t>
      </w:r>
      <w:r>
        <w:t xml:space="preserve">sewer rates that </w:t>
      </w:r>
      <w:r>
        <w:rPr>
          <w:iCs/>
        </w:rPr>
        <w:t xml:space="preserve">reflect actual costs of the operation, maintenance, </w:t>
      </w:r>
      <w:r w:rsidR="002107C6">
        <w:rPr>
          <w:iCs/>
        </w:rPr>
        <w:t xml:space="preserve">repair, </w:t>
      </w:r>
      <w:r>
        <w:rPr>
          <w:iCs/>
        </w:rPr>
        <w:t>and replacement of the collection and treatment works</w:t>
      </w:r>
      <w:r w:rsidR="002107C6">
        <w:rPr>
          <w:iCs/>
        </w:rPr>
        <w:t>; and</w:t>
      </w:r>
    </w:p>
    <w:p w14:paraId="126B6226" w14:textId="77777777" w:rsidR="00B11E20" w:rsidRDefault="00B11E20">
      <w:pPr>
        <w:rPr>
          <w:iCs/>
        </w:rPr>
      </w:pPr>
    </w:p>
    <w:p w14:paraId="3CA10B1F" w14:textId="77777777" w:rsidR="00B11E20" w:rsidRDefault="00982853">
      <w:r>
        <w:rPr>
          <w:b/>
          <w:bCs/>
        </w:rPr>
        <w:tab/>
        <w:t>WHEREAS</w:t>
      </w:r>
      <w:r>
        <w:t>, pursuant to this authority, on December 3, 2008, the Mosier City Council adopted Resolution 2008-09 (Resolution Adopting Sewer Rates), which established a schedule of sewer rates for all customers of the City’s sewer utility; and</w:t>
      </w:r>
    </w:p>
    <w:p w14:paraId="09346A66" w14:textId="77777777" w:rsidR="00B11E20" w:rsidRDefault="00B11E20"/>
    <w:p w14:paraId="3AE27F21" w14:textId="77777777" w:rsidR="00B11E20" w:rsidRDefault="00982853">
      <w:r>
        <w:tab/>
      </w:r>
      <w:r>
        <w:rPr>
          <w:b/>
          <w:bCs/>
        </w:rPr>
        <w:t>WHEREAS</w:t>
      </w:r>
      <w:r>
        <w:t xml:space="preserve">, since that time, the need has arisen to revise the rates and schedule of charges for the city’s sewer utility as reflected in </w:t>
      </w:r>
      <w:r>
        <w:rPr>
          <w:u w:val="single"/>
        </w:rPr>
        <w:t>Exhibit A</w:t>
      </w:r>
      <w:r>
        <w:t>, attached to this resolution and incorporated herein by this reference; and</w:t>
      </w:r>
    </w:p>
    <w:p w14:paraId="7EF99D5B" w14:textId="77777777" w:rsidR="002D76A4" w:rsidRDefault="002D76A4"/>
    <w:p w14:paraId="04FE0220" w14:textId="3DDAD492" w:rsidR="002D76A4" w:rsidRDefault="002D76A4" w:rsidP="002D76A4">
      <w:r>
        <w:tab/>
      </w:r>
      <w:r>
        <w:rPr>
          <w:b/>
          <w:bCs/>
        </w:rPr>
        <w:t>WHEREAS</w:t>
      </w:r>
      <w:r>
        <w:t>, the City’s contractor operator (CH2MHill-OMI) increases its operations charges annually and these charges represent a significant portion of the total annual expense for the sewer utility; and</w:t>
      </w:r>
    </w:p>
    <w:p w14:paraId="1E33F80C" w14:textId="77777777" w:rsidR="00B11E20" w:rsidRDefault="00B11E20"/>
    <w:p w14:paraId="4ABF9CC8" w14:textId="77777777" w:rsidR="00B11E20" w:rsidRDefault="00982853">
      <w:r>
        <w:tab/>
      </w:r>
      <w:r>
        <w:rPr>
          <w:b/>
          <w:bCs/>
        </w:rPr>
        <w:t>WHEREAS</w:t>
      </w:r>
      <w:r>
        <w:t>, the City Council scheduled, duly noticed and held public meeting</w:t>
      </w:r>
      <w:r w:rsidR="002107C6">
        <w:t>s</w:t>
      </w:r>
      <w:r>
        <w:t xml:space="preserve"> on </w:t>
      </w:r>
      <w:r w:rsidR="00B37A7A">
        <w:t>May 7</w:t>
      </w:r>
      <w:r w:rsidR="00B37A7A" w:rsidRPr="00B37A7A">
        <w:rPr>
          <w:vertAlign w:val="superscript"/>
        </w:rPr>
        <w:t>th</w:t>
      </w:r>
      <w:r w:rsidR="00B37A7A">
        <w:t xml:space="preserve">, 2014, </w:t>
      </w:r>
      <w:r w:rsidR="002107C6">
        <w:t>June 4</w:t>
      </w:r>
      <w:r w:rsidR="002107C6" w:rsidRPr="002107C6">
        <w:rPr>
          <w:vertAlign w:val="superscript"/>
        </w:rPr>
        <w:t>th</w:t>
      </w:r>
      <w:r w:rsidR="002107C6">
        <w:t xml:space="preserve">, 2014, </w:t>
      </w:r>
      <w:r w:rsidR="00B37A7A">
        <w:t xml:space="preserve">and </w:t>
      </w:r>
      <w:r w:rsidR="002107C6" w:rsidRPr="00B37A7A">
        <w:t>July 16</w:t>
      </w:r>
      <w:r w:rsidR="002107C6" w:rsidRPr="00B37A7A">
        <w:rPr>
          <w:vertAlign w:val="superscript"/>
        </w:rPr>
        <w:t>th</w:t>
      </w:r>
      <w:r w:rsidR="002107C6" w:rsidRPr="00B37A7A">
        <w:t>, 2014</w:t>
      </w:r>
      <w:r>
        <w:t xml:space="preserve"> for the consideration of a proposed revision to the city’s rate schedule for monthly sewer utility fees, at which the Council took public testimony on the proposed new rates and charges.</w:t>
      </w:r>
    </w:p>
    <w:p w14:paraId="33EE75E1" w14:textId="77777777" w:rsidR="00B11E20" w:rsidRDefault="00B11E20"/>
    <w:p w14:paraId="5E2D0EAE" w14:textId="77777777" w:rsidR="00B11E20" w:rsidRDefault="00982853">
      <w:r>
        <w:tab/>
      </w:r>
      <w:r>
        <w:rPr>
          <w:b/>
          <w:bCs/>
        </w:rPr>
        <w:t>NOW THEREFORE, BE IT RESOLVED</w:t>
      </w:r>
      <w:r>
        <w:t xml:space="preserve">, that, based on the foregoing findings, the Mosier City Council hereby repeals in its entirety Resolution 2008-09 (Resolution Adopting Sewer Rates) and all prior city sewer utility rate schedules and adopts a new Schedule of Charges for the Mosier Sewer Utility shown in </w:t>
      </w:r>
      <w:r>
        <w:rPr>
          <w:u w:val="single"/>
        </w:rPr>
        <w:t>Exhibit A</w:t>
      </w:r>
      <w:r>
        <w:t xml:space="preserve">, attached to this resolution and incorporated herein by this reference.  </w:t>
      </w:r>
    </w:p>
    <w:p w14:paraId="0199102B" w14:textId="77777777" w:rsidR="00B11E20" w:rsidRDefault="00B11E20"/>
    <w:p w14:paraId="680DE4C3" w14:textId="77777777" w:rsidR="00B11E20" w:rsidRDefault="00982853">
      <w:r>
        <w:tab/>
      </w:r>
      <w:r>
        <w:rPr>
          <w:b/>
          <w:bCs/>
        </w:rPr>
        <w:t>BE IT FURTHER RESOLVED</w:t>
      </w:r>
      <w:r>
        <w:t xml:space="preserve"> that Non-Profit organizations using less than 10,000 gallons of water will be considered an ERU Multiple 0.75.  The American Legion, Mosier Grange, and Mosier First Christian Church are determined to fit the Rate Class of VI and any other Non-Profit organizations must come before the City Council for a determination request.  The rates adopted by this Resolution shall be billed each month per sewer connection.  There will be no “turn-off” or vacation rates for non-use except as provided by City Council policy where a property has been shut-off (meter locked) pursuant to affirmative City action to stop service at a particular property.</w:t>
      </w:r>
    </w:p>
    <w:p w14:paraId="780DEDF2" w14:textId="77777777" w:rsidR="00B37A7A" w:rsidRDefault="00B37A7A"/>
    <w:p w14:paraId="496E51CD" w14:textId="2F89670C" w:rsidR="00B37A7A" w:rsidRDefault="00B37A7A" w:rsidP="00B37A7A">
      <w:pPr>
        <w:ind w:firstLine="720"/>
        <w:rPr>
          <w:bCs/>
        </w:rPr>
      </w:pPr>
      <w:r>
        <w:rPr>
          <w:b/>
          <w:bCs/>
        </w:rPr>
        <w:t xml:space="preserve">BE IT FURTHER RESOLVED </w:t>
      </w:r>
      <w:r>
        <w:rPr>
          <w:bCs/>
        </w:rPr>
        <w:t>that in order to maintain adequate revenue to match inflationary increases in the sewer utility expenses, the City may</w:t>
      </w:r>
      <w:r w:rsidR="002D76A4">
        <w:rPr>
          <w:bCs/>
        </w:rPr>
        <w:t>, by administrative process, automatically</w:t>
      </w:r>
      <w:r>
        <w:rPr>
          <w:bCs/>
        </w:rPr>
        <w:t xml:space="preserve"> adjust the sewer rates annually based on </w:t>
      </w:r>
      <w:r w:rsidR="002D76A4">
        <w:rPr>
          <w:bCs/>
        </w:rPr>
        <w:t>the proportional increase in total sewer utility expenses caused by increased costs imposed by the City’s contract operator, CH2MHill - OMI</w:t>
      </w:r>
      <w:r>
        <w:rPr>
          <w:bCs/>
        </w:rPr>
        <w:t>.</w:t>
      </w:r>
      <w:r w:rsidR="002D76A4">
        <w:rPr>
          <w:bCs/>
        </w:rPr>
        <w:t xml:space="preserve">  The annual rate increase by administrative process will not exceed two (2) percent.</w:t>
      </w:r>
    </w:p>
    <w:p w14:paraId="67414BFD" w14:textId="77777777" w:rsidR="002D76A4" w:rsidRPr="00B37A7A" w:rsidRDefault="002D76A4" w:rsidP="00B37A7A">
      <w:pPr>
        <w:ind w:firstLine="720"/>
      </w:pPr>
    </w:p>
    <w:p w14:paraId="7C1459EF" w14:textId="0F19AE52" w:rsidR="00B11E20" w:rsidRDefault="00982853" w:rsidP="002D76A4">
      <w:pPr>
        <w:ind w:firstLine="720"/>
      </w:pPr>
      <w:r>
        <w:rPr>
          <w:b/>
          <w:bCs/>
        </w:rPr>
        <w:t>IT IS SO RESOLVED</w:t>
      </w:r>
      <w:r>
        <w:t xml:space="preserve"> and passed this ____ day of _________20</w:t>
      </w:r>
      <w:r w:rsidR="00B37A7A">
        <w:t>14</w:t>
      </w:r>
      <w:r>
        <w:t>, by a majority of the Mosier City Council.</w:t>
      </w:r>
    </w:p>
    <w:p w14:paraId="33CB2E92" w14:textId="77777777" w:rsidR="00B11E20" w:rsidRDefault="00B11E20"/>
    <w:p w14:paraId="14C65D8D" w14:textId="77777777" w:rsidR="00B11E20" w:rsidRDefault="00982853">
      <w:r>
        <w:tab/>
      </w:r>
      <w:r>
        <w:tab/>
      </w:r>
      <w:r>
        <w:tab/>
      </w:r>
      <w:r>
        <w:tab/>
      </w:r>
      <w:r>
        <w:tab/>
      </w:r>
      <w:r w:rsidR="003F4FDA">
        <w:tab/>
      </w:r>
      <w:r>
        <w:rPr>
          <w:u w:val="single"/>
        </w:rPr>
        <w:tab/>
      </w:r>
      <w:r>
        <w:rPr>
          <w:u w:val="single"/>
        </w:rPr>
        <w:tab/>
      </w:r>
      <w:r>
        <w:rPr>
          <w:u w:val="single"/>
        </w:rPr>
        <w:tab/>
      </w:r>
      <w:r>
        <w:rPr>
          <w:u w:val="single"/>
        </w:rPr>
        <w:tab/>
      </w:r>
      <w:r>
        <w:rPr>
          <w:u w:val="single"/>
        </w:rPr>
        <w:tab/>
      </w:r>
      <w:r>
        <w:rPr>
          <w:u w:val="single"/>
        </w:rPr>
        <w:tab/>
      </w:r>
    </w:p>
    <w:p w14:paraId="18FF9AC7" w14:textId="77777777" w:rsidR="00B11E20" w:rsidRDefault="00982853">
      <w:r>
        <w:tab/>
      </w:r>
      <w:r>
        <w:tab/>
      </w:r>
      <w:r>
        <w:tab/>
      </w:r>
      <w:r>
        <w:tab/>
      </w:r>
      <w:r>
        <w:tab/>
      </w:r>
      <w:r w:rsidR="003F4FDA">
        <w:tab/>
      </w:r>
      <w:r>
        <w:t>Andrea Rogers, Mayor</w:t>
      </w:r>
    </w:p>
    <w:p w14:paraId="20E192BF" w14:textId="77777777" w:rsidR="00B11E20" w:rsidRDefault="00B11E20"/>
    <w:tbl>
      <w:tblPr>
        <w:tblW w:w="0" w:type="auto"/>
        <w:tblLook w:val="0000" w:firstRow="0" w:lastRow="0" w:firstColumn="0" w:lastColumn="0" w:noHBand="0" w:noVBand="0"/>
      </w:tblPr>
      <w:tblGrid>
        <w:gridCol w:w="4500"/>
        <w:gridCol w:w="4500"/>
      </w:tblGrid>
      <w:tr w:rsidR="00B11E20" w14:paraId="4F4B667C" w14:textId="77777777">
        <w:tc>
          <w:tcPr>
            <w:tcW w:w="4500" w:type="dxa"/>
          </w:tcPr>
          <w:p w14:paraId="08C763AF" w14:textId="77777777" w:rsidR="00B11E20" w:rsidRDefault="00982853">
            <w:pPr>
              <w:tabs>
                <w:tab w:val="left" w:pos="1455"/>
              </w:tabs>
              <w:rPr>
                <w:sz w:val="22"/>
              </w:rPr>
            </w:pPr>
            <w:r>
              <w:rPr>
                <w:sz w:val="22"/>
              </w:rPr>
              <w:t>ATTEST:</w:t>
            </w:r>
            <w:r>
              <w:rPr>
                <w:sz w:val="22"/>
              </w:rPr>
              <w:tab/>
            </w:r>
          </w:p>
          <w:p w14:paraId="6447F030" w14:textId="77777777" w:rsidR="00B11E20" w:rsidRDefault="00B11E20">
            <w:pPr>
              <w:rPr>
                <w:sz w:val="22"/>
              </w:rPr>
            </w:pPr>
          </w:p>
          <w:p w14:paraId="36D64372" w14:textId="77777777" w:rsidR="00B11E20" w:rsidRDefault="00B11E20">
            <w:pPr>
              <w:rPr>
                <w:sz w:val="22"/>
              </w:rPr>
            </w:pPr>
          </w:p>
          <w:p w14:paraId="54E6365E" w14:textId="77777777" w:rsidR="00B11E20" w:rsidRDefault="00B11E20">
            <w:pPr>
              <w:rPr>
                <w:sz w:val="22"/>
              </w:rPr>
            </w:pPr>
          </w:p>
          <w:p w14:paraId="1EC098B4" w14:textId="77777777" w:rsidR="00B11E20" w:rsidRDefault="00982853">
            <w:pPr>
              <w:rPr>
                <w:sz w:val="22"/>
              </w:rPr>
            </w:pPr>
            <w:r>
              <w:rPr>
                <w:sz w:val="22"/>
                <w:u w:val="single"/>
              </w:rPr>
              <w:tab/>
            </w:r>
            <w:r>
              <w:rPr>
                <w:sz w:val="22"/>
                <w:u w:val="single"/>
              </w:rPr>
              <w:tab/>
            </w:r>
            <w:r>
              <w:rPr>
                <w:sz w:val="22"/>
                <w:u w:val="single"/>
              </w:rPr>
              <w:tab/>
            </w:r>
            <w:r>
              <w:rPr>
                <w:sz w:val="22"/>
                <w:u w:val="single"/>
              </w:rPr>
              <w:tab/>
            </w:r>
            <w:r>
              <w:rPr>
                <w:sz w:val="22"/>
                <w:u w:val="single"/>
              </w:rPr>
              <w:tab/>
            </w:r>
          </w:p>
          <w:p w14:paraId="5DAF0216" w14:textId="77777777" w:rsidR="00B11E20" w:rsidRDefault="00B37A7A">
            <w:pPr>
              <w:rPr>
                <w:sz w:val="22"/>
              </w:rPr>
            </w:pPr>
            <w:r>
              <w:rPr>
                <w:sz w:val="22"/>
              </w:rPr>
              <w:t>Kathy Fitzpatrick</w:t>
            </w:r>
            <w:r w:rsidR="00982853">
              <w:rPr>
                <w:sz w:val="22"/>
              </w:rPr>
              <w:t xml:space="preserve">, City </w:t>
            </w:r>
            <w:r>
              <w:rPr>
                <w:sz w:val="22"/>
              </w:rPr>
              <w:t>Manager</w:t>
            </w:r>
          </w:p>
          <w:p w14:paraId="1DEFF7E3" w14:textId="77777777" w:rsidR="00B11E20" w:rsidRDefault="00B11E20">
            <w:pPr>
              <w:rPr>
                <w:sz w:val="22"/>
              </w:rPr>
            </w:pPr>
          </w:p>
        </w:tc>
        <w:tc>
          <w:tcPr>
            <w:tcW w:w="4500" w:type="dxa"/>
          </w:tcPr>
          <w:p w14:paraId="1A05768A" w14:textId="77777777" w:rsidR="00B11E20" w:rsidRDefault="00982853">
            <w:pPr>
              <w:rPr>
                <w:sz w:val="22"/>
              </w:rPr>
            </w:pPr>
            <w:r>
              <w:rPr>
                <w:sz w:val="22"/>
              </w:rPr>
              <w:t>Approved as to form:</w:t>
            </w:r>
          </w:p>
          <w:p w14:paraId="5EA15303" w14:textId="77777777" w:rsidR="00B11E20" w:rsidRDefault="00982853">
            <w:pPr>
              <w:rPr>
                <w:sz w:val="22"/>
              </w:rPr>
            </w:pPr>
            <w:r>
              <w:rPr>
                <w:sz w:val="22"/>
              </w:rPr>
              <w:tab/>
            </w:r>
          </w:p>
          <w:p w14:paraId="6DFA93D9" w14:textId="77777777" w:rsidR="00B11E20" w:rsidRDefault="00B11E20">
            <w:pPr>
              <w:rPr>
                <w:sz w:val="22"/>
              </w:rPr>
            </w:pPr>
          </w:p>
          <w:p w14:paraId="4106CC0A" w14:textId="77777777" w:rsidR="00B11E20" w:rsidRDefault="00B11E20">
            <w:pPr>
              <w:rPr>
                <w:sz w:val="22"/>
              </w:rPr>
            </w:pPr>
          </w:p>
          <w:p w14:paraId="3CCE7E2A" w14:textId="77777777" w:rsidR="00B11E20" w:rsidRDefault="00982853">
            <w:pPr>
              <w:rPr>
                <w:sz w:val="22"/>
              </w:rPr>
            </w:pPr>
            <w:r>
              <w:rPr>
                <w:sz w:val="22"/>
                <w:u w:val="single"/>
              </w:rPr>
              <w:tab/>
            </w:r>
            <w:r>
              <w:rPr>
                <w:sz w:val="22"/>
                <w:u w:val="single"/>
              </w:rPr>
              <w:tab/>
            </w:r>
            <w:r>
              <w:rPr>
                <w:sz w:val="22"/>
                <w:u w:val="single"/>
              </w:rPr>
              <w:tab/>
            </w:r>
            <w:r>
              <w:rPr>
                <w:sz w:val="22"/>
                <w:u w:val="single"/>
              </w:rPr>
              <w:tab/>
            </w:r>
            <w:r>
              <w:rPr>
                <w:sz w:val="22"/>
                <w:u w:val="single"/>
              </w:rPr>
              <w:tab/>
            </w:r>
          </w:p>
          <w:p w14:paraId="58CAE5A0" w14:textId="77777777" w:rsidR="00B11E20" w:rsidRDefault="00982853">
            <w:pPr>
              <w:rPr>
                <w:sz w:val="22"/>
              </w:rPr>
            </w:pPr>
            <w:r>
              <w:rPr>
                <w:sz w:val="22"/>
              </w:rPr>
              <w:t>Daniel Kearns, City Attorney</w:t>
            </w:r>
          </w:p>
          <w:p w14:paraId="7AD81931" w14:textId="77777777" w:rsidR="00B37A7A" w:rsidRDefault="00B37A7A">
            <w:pPr>
              <w:rPr>
                <w:sz w:val="22"/>
              </w:rPr>
            </w:pPr>
          </w:p>
        </w:tc>
      </w:tr>
      <w:tr w:rsidR="00B37A7A" w14:paraId="14B2E2FB" w14:textId="77777777">
        <w:tc>
          <w:tcPr>
            <w:tcW w:w="4500" w:type="dxa"/>
          </w:tcPr>
          <w:p w14:paraId="1AA77C4A" w14:textId="77777777" w:rsidR="00B37A7A" w:rsidRDefault="00B37A7A">
            <w:pPr>
              <w:tabs>
                <w:tab w:val="left" w:pos="1455"/>
              </w:tabs>
              <w:rPr>
                <w:sz w:val="22"/>
              </w:rPr>
            </w:pPr>
          </w:p>
        </w:tc>
        <w:tc>
          <w:tcPr>
            <w:tcW w:w="4500" w:type="dxa"/>
          </w:tcPr>
          <w:p w14:paraId="2657E32C" w14:textId="77777777" w:rsidR="00B37A7A" w:rsidRDefault="00B37A7A">
            <w:pPr>
              <w:rPr>
                <w:sz w:val="22"/>
              </w:rPr>
            </w:pPr>
          </w:p>
        </w:tc>
      </w:tr>
    </w:tbl>
    <w:p w14:paraId="2DBA826A" w14:textId="77777777" w:rsidR="00B37A7A" w:rsidRDefault="00B37A7A">
      <w:pPr>
        <w:sectPr w:rsidR="00B37A7A" w:rsidSect="00B37A7A">
          <w:footerReference w:type="default" r:id="rId8"/>
          <w:pgSz w:w="12240" w:h="15840" w:code="1"/>
          <w:pgMar w:top="1440" w:right="1728" w:bottom="1440" w:left="1728" w:header="720" w:footer="720" w:gutter="0"/>
          <w:cols w:space="720"/>
          <w:noEndnote/>
        </w:sectPr>
      </w:pPr>
    </w:p>
    <w:p w14:paraId="55F653A4" w14:textId="77777777" w:rsidR="004D34E8" w:rsidRDefault="004D34E8" w:rsidP="00B37A7A">
      <w:pPr>
        <w:rPr>
          <w:b/>
        </w:rPr>
      </w:pPr>
    </w:p>
    <w:p w14:paraId="6729DE11" w14:textId="28D28A23" w:rsidR="00B37A7A" w:rsidRDefault="00B37A7A" w:rsidP="00B37A7A">
      <w:r w:rsidRPr="00CE4047">
        <w:rPr>
          <w:b/>
        </w:rPr>
        <w:t xml:space="preserve">Effective </w:t>
      </w:r>
      <w:r w:rsidR="004D34E8">
        <w:rPr>
          <w:b/>
        </w:rPr>
        <w:t>August</w:t>
      </w:r>
      <w:r>
        <w:rPr>
          <w:b/>
        </w:rPr>
        <w:t xml:space="preserve"> 1, 2014</w:t>
      </w:r>
      <w:r w:rsidRPr="00CE4047">
        <w:rPr>
          <w:b/>
        </w:rPr>
        <w:t>:</w:t>
      </w:r>
    </w:p>
    <w:p w14:paraId="4C392FE8" w14:textId="77777777" w:rsidR="00B37A7A" w:rsidRDefault="00B37A7A" w:rsidP="00B37A7A"/>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390"/>
        <w:gridCol w:w="4757"/>
        <w:gridCol w:w="1465"/>
        <w:gridCol w:w="1388"/>
      </w:tblGrid>
      <w:tr w:rsidR="00B37A7A" w:rsidRPr="009F535F" w14:paraId="790E34E4" w14:textId="77777777" w:rsidTr="002816DD">
        <w:tc>
          <w:tcPr>
            <w:tcW w:w="772" w:type="pct"/>
            <w:tcBorders>
              <w:bottom w:val="single" w:sz="12" w:space="0" w:color="000000"/>
            </w:tcBorders>
            <w:shd w:val="clear" w:color="auto" w:fill="auto"/>
            <w:vAlign w:val="center"/>
          </w:tcPr>
          <w:p w14:paraId="48EFA92D" w14:textId="77777777" w:rsidR="00B37A7A" w:rsidRPr="009F535F" w:rsidRDefault="00B37A7A" w:rsidP="002816DD">
            <w:pPr>
              <w:jc w:val="center"/>
              <w:rPr>
                <w:b/>
              </w:rPr>
            </w:pPr>
            <w:r w:rsidRPr="009F535F">
              <w:rPr>
                <w:b/>
              </w:rPr>
              <w:t>Rate Class</w:t>
            </w:r>
          </w:p>
        </w:tc>
        <w:tc>
          <w:tcPr>
            <w:tcW w:w="2643" w:type="pct"/>
            <w:tcBorders>
              <w:bottom w:val="single" w:sz="12" w:space="0" w:color="000000"/>
            </w:tcBorders>
            <w:shd w:val="clear" w:color="auto" w:fill="auto"/>
            <w:vAlign w:val="center"/>
          </w:tcPr>
          <w:p w14:paraId="2D3A11A5" w14:textId="77777777" w:rsidR="00B37A7A" w:rsidRPr="009F535F" w:rsidRDefault="00B37A7A" w:rsidP="002816DD">
            <w:pPr>
              <w:jc w:val="center"/>
              <w:rPr>
                <w:b/>
              </w:rPr>
            </w:pPr>
            <w:r w:rsidRPr="009F535F">
              <w:rPr>
                <w:b/>
              </w:rPr>
              <w:t>Description</w:t>
            </w:r>
          </w:p>
        </w:tc>
        <w:tc>
          <w:tcPr>
            <w:tcW w:w="814" w:type="pct"/>
            <w:tcBorders>
              <w:bottom w:val="single" w:sz="12" w:space="0" w:color="000000"/>
            </w:tcBorders>
            <w:shd w:val="clear" w:color="auto" w:fill="auto"/>
            <w:vAlign w:val="center"/>
          </w:tcPr>
          <w:p w14:paraId="27C3A8CE" w14:textId="77777777" w:rsidR="00B37A7A" w:rsidRPr="009F535F" w:rsidRDefault="00B37A7A" w:rsidP="002816DD">
            <w:pPr>
              <w:jc w:val="center"/>
              <w:rPr>
                <w:b/>
              </w:rPr>
            </w:pPr>
            <w:r w:rsidRPr="009F535F">
              <w:rPr>
                <w:b/>
              </w:rPr>
              <w:t>ERU Multiple</w:t>
            </w:r>
          </w:p>
        </w:tc>
        <w:tc>
          <w:tcPr>
            <w:tcW w:w="771" w:type="pct"/>
            <w:tcBorders>
              <w:bottom w:val="single" w:sz="12" w:space="0" w:color="000000"/>
            </w:tcBorders>
            <w:shd w:val="clear" w:color="auto" w:fill="auto"/>
            <w:vAlign w:val="center"/>
          </w:tcPr>
          <w:p w14:paraId="182FB3B7" w14:textId="77777777" w:rsidR="00B37A7A" w:rsidRPr="009F535F" w:rsidRDefault="00B37A7A" w:rsidP="002816DD">
            <w:pPr>
              <w:jc w:val="center"/>
              <w:rPr>
                <w:b/>
              </w:rPr>
            </w:pPr>
            <w:r w:rsidRPr="009F535F">
              <w:rPr>
                <w:b/>
              </w:rPr>
              <w:t>Rate per month</w:t>
            </w:r>
          </w:p>
        </w:tc>
      </w:tr>
      <w:tr w:rsidR="00B37A7A" w14:paraId="1DE48E6C" w14:textId="77777777" w:rsidTr="002816DD">
        <w:tc>
          <w:tcPr>
            <w:tcW w:w="772" w:type="pct"/>
            <w:shd w:val="clear" w:color="auto" w:fill="auto"/>
          </w:tcPr>
          <w:p w14:paraId="310FFE9F" w14:textId="77777777" w:rsidR="00B37A7A" w:rsidRDefault="00B37A7A" w:rsidP="002816DD">
            <w:pPr>
              <w:jc w:val="center"/>
            </w:pPr>
            <w:r>
              <w:t>I</w:t>
            </w:r>
          </w:p>
        </w:tc>
        <w:tc>
          <w:tcPr>
            <w:tcW w:w="2643" w:type="pct"/>
            <w:shd w:val="clear" w:color="auto" w:fill="auto"/>
          </w:tcPr>
          <w:p w14:paraId="4DA7F3E6" w14:textId="77777777" w:rsidR="00B37A7A" w:rsidRDefault="00B37A7A" w:rsidP="002816DD">
            <w:r>
              <w:t>Single Family Residential</w:t>
            </w:r>
          </w:p>
        </w:tc>
        <w:tc>
          <w:tcPr>
            <w:tcW w:w="814" w:type="pct"/>
            <w:shd w:val="clear" w:color="auto" w:fill="auto"/>
          </w:tcPr>
          <w:p w14:paraId="3F44AC1A" w14:textId="77777777" w:rsidR="00B37A7A" w:rsidRDefault="00B37A7A" w:rsidP="002816DD">
            <w:pPr>
              <w:jc w:val="center"/>
            </w:pPr>
            <w:r>
              <w:t>1.0</w:t>
            </w:r>
          </w:p>
        </w:tc>
        <w:tc>
          <w:tcPr>
            <w:tcW w:w="771" w:type="pct"/>
            <w:shd w:val="clear" w:color="auto" w:fill="auto"/>
          </w:tcPr>
          <w:p w14:paraId="488B2A5A" w14:textId="77777777" w:rsidR="00B37A7A" w:rsidRDefault="00B37A7A" w:rsidP="002816DD">
            <w:pPr>
              <w:jc w:val="center"/>
            </w:pPr>
            <w:r>
              <w:t>$63</w:t>
            </w:r>
          </w:p>
        </w:tc>
      </w:tr>
      <w:tr w:rsidR="00B37A7A" w14:paraId="32327F78" w14:textId="77777777" w:rsidTr="002816DD">
        <w:tc>
          <w:tcPr>
            <w:tcW w:w="772" w:type="pct"/>
            <w:shd w:val="clear" w:color="auto" w:fill="auto"/>
          </w:tcPr>
          <w:p w14:paraId="643882E6" w14:textId="77777777" w:rsidR="00B37A7A" w:rsidRDefault="00B37A7A" w:rsidP="002816DD">
            <w:pPr>
              <w:jc w:val="center"/>
            </w:pPr>
            <w:r>
              <w:t>II</w:t>
            </w:r>
          </w:p>
        </w:tc>
        <w:tc>
          <w:tcPr>
            <w:tcW w:w="2643" w:type="pct"/>
            <w:shd w:val="clear" w:color="auto" w:fill="auto"/>
          </w:tcPr>
          <w:p w14:paraId="67029E33" w14:textId="77777777" w:rsidR="00B37A7A" w:rsidRDefault="00B37A7A" w:rsidP="002816DD">
            <w:r>
              <w:t>Multi-Family Residential</w:t>
            </w:r>
          </w:p>
        </w:tc>
        <w:tc>
          <w:tcPr>
            <w:tcW w:w="814" w:type="pct"/>
            <w:shd w:val="clear" w:color="auto" w:fill="auto"/>
          </w:tcPr>
          <w:p w14:paraId="6A7BF2E6" w14:textId="77777777" w:rsidR="00B37A7A" w:rsidRDefault="00B37A7A" w:rsidP="002816DD">
            <w:pPr>
              <w:jc w:val="center"/>
            </w:pPr>
            <w:r>
              <w:t>1.0</w:t>
            </w:r>
          </w:p>
        </w:tc>
        <w:tc>
          <w:tcPr>
            <w:tcW w:w="771" w:type="pct"/>
            <w:shd w:val="clear" w:color="auto" w:fill="auto"/>
          </w:tcPr>
          <w:p w14:paraId="302262BB" w14:textId="77777777" w:rsidR="00B37A7A" w:rsidRDefault="00B37A7A" w:rsidP="002816DD">
            <w:pPr>
              <w:jc w:val="center"/>
            </w:pPr>
            <w:r>
              <w:t>$63</w:t>
            </w:r>
          </w:p>
        </w:tc>
      </w:tr>
      <w:tr w:rsidR="00B37A7A" w14:paraId="7073F632" w14:textId="77777777" w:rsidTr="002816DD">
        <w:tc>
          <w:tcPr>
            <w:tcW w:w="772" w:type="pct"/>
            <w:shd w:val="clear" w:color="auto" w:fill="auto"/>
          </w:tcPr>
          <w:p w14:paraId="5650E8C6" w14:textId="77777777" w:rsidR="00B37A7A" w:rsidRDefault="00B37A7A" w:rsidP="002816DD">
            <w:pPr>
              <w:jc w:val="center"/>
            </w:pPr>
            <w:r>
              <w:t>III</w:t>
            </w:r>
          </w:p>
        </w:tc>
        <w:tc>
          <w:tcPr>
            <w:tcW w:w="2643" w:type="pct"/>
            <w:shd w:val="clear" w:color="auto" w:fill="auto"/>
          </w:tcPr>
          <w:p w14:paraId="78FEC706" w14:textId="77777777" w:rsidR="00B37A7A" w:rsidRDefault="00B37A7A" w:rsidP="002816DD">
            <w:r>
              <w:t>Schools</w:t>
            </w:r>
          </w:p>
        </w:tc>
        <w:tc>
          <w:tcPr>
            <w:tcW w:w="814" w:type="pct"/>
            <w:shd w:val="clear" w:color="auto" w:fill="auto"/>
          </w:tcPr>
          <w:p w14:paraId="61261BE0" w14:textId="77777777" w:rsidR="00B37A7A" w:rsidRDefault="00B37A7A" w:rsidP="002816DD">
            <w:pPr>
              <w:jc w:val="center"/>
            </w:pPr>
            <w:r>
              <w:t>5.0</w:t>
            </w:r>
          </w:p>
        </w:tc>
        <w:tc>
          <w:tcPr>
            <w:tcW w:w="771" w:type="pct"/>
            <w:shd w:val="clear" w:color="auto" w:fill="auto"/>
          </w:tcPr>
          <w:p w14:paraId="0E085365" w14:textId="77777777" w:rsidR="00B37A7A" w:rsidRDefault="00B37A7A" w:rsidP="002816DD">
            <w:pPr>
              <w:jc w:val="center"/>
            </w:pPr>
            <w:r>
              <w:t>$315</w:t>
            </w:r>
          </w:p>
        </w:tc>
      </w:tr>
      <w:tr w:rsidR="00B37A7A" w14:paraId="5B08EBB7" w14:textId="77777777" w:rsidTr="002816DD">
        <w:tc>
          <w:tcPr>
            <w:tcW w:w="772" w:type="pct"/>
            <w:shd w:val="clear" w:color="auto" w:fill="auto"/>
          </w:tcPr>
          <w:p w14:paraId="2BB8D852" w14:textId="77777777" w:rsidR="00B37A7A" w:rsidRDefault="00B37A7A" w:rsidP="002816DD">
            <w:pPr>
              <w:jc w:val="center"/>
            </w:pPr>
            <w:r>
              <w:t>IV</w:t>
            </w:r>
          </w:p>
        </w:tc>
        <w:tc>
          <w:tcPr>
            <w:tcW w:w="2643" w:type="pct"/>
            <w:shd w:val="clear" w:color="auto" w:fill="auto"/>
          </w:tcPr>
          <w:p w14:paraId="6D4F9AE0" w14:textId="77777777" w:rsidR="00B37A7A" w:rsidRDefault="00B37A7A" w:rsidP="002816DD">
            <w:r>
              <w:t>Commercial (incl. Bed &amp; Breakfast)</w:t>
            </w:r>
          </w:p>
        </w:tc>
        <w:tc>
          <w:tcPr>
            <w:tcW w:w="814" w:type="pct"/>
            <w:shd w:val="clear" w:color="auto" w:fill="auto"/>
          </w:tcPr>
          <w:p w14:paraId="21F58275" w14:textId="77777777" w:rsidR="00B37A7A" w:rsidRDefault="00B37A7A" w:rsidP="002816DD">
            <w:pPr>
              <w:jc w:val="center"/>
            </w:pPr>
            <w:r>
              <w:t>1.5</w:t>
            </w:r>
          </w:p>
        </w:tc>
        <w:tc>
          <w:tcPr>
            <w:tcW w:w="771" w:type="pct"/>
            <w:shd w:val="clear" w:color="auto" w:fill="auto"/>
          </w:tcPr>
          <w:p w14:paraId="629A7860" w14:textId="77777777" w:rsidR="00B37A7A" w:rsidRDefault="00B37A7A" w:rsidP="002816DD">
            <w:pPr>
              <w:jc w:val="center"/>
            </w:pPr>
            <w:r>
              <w:t>$94.50</w:t>
            </w:r>
          </w:p>
        </w:tc>
      </w:tr>
      <w:tr w:rsidR="00B37A7A" w14:paraId="00EB69E0" w14:textId="77777777" w:rsidTr="002816DD">
        <w:tc>
          <w:tcPr>
            <w:tcW w:w="772" w:type="pct"/>
            <w:shd w:val="clear" w:color="auto" w:fill="auto"/>
          </w:tcPr>
          <w:p w14:paraId="0047BA74" w14:textId="77777777" w:rsidR="00B37A7A" w:rsidRDefault="00B37A7A" w:rsidP="002816DD">
            <w:pPr>
              <w:jc w:val="center"/>
            </w:pPr>
            <w:r>
              <w:t>V</w:t>
            </w:r>
          </w:p>
        </w:tc>
        <w:tc>
          <w:tcPr>
            <w:tcW w:w="2643" w:type="pct"/>
            <w:shd w:val="clear" w:color="auto" w:fill="auto"/>
          </w:tcPr>
          <w:p w14:paraId="5AC8A7FD" w14:textId="77777777" w:rsidR="00B37A7A" w:rsidRDefault="00B37A7A" w:rsidP="002816DD">
            <w:r>
              <w:t>Accessory Dwelling Unit</w:t>
            </w:r>
          </w:p>
        </w:tc>
        <w:tc>
          <w:tcPr>
            <w:tcW w:w="814" w:type="pct"/>
            <w:shd w:val="clear" w:color="auto" w:fill="auto"/>
          </w:tcPr>
          <w:p w14:paraId="5EE1896C" w14:textId="77777777" w:rsidR="00B37A7A" w:rsidRDefault="00B37A7A" w:rsidP="002816DD">
            <w:pPr>
              <w:jc w:val="center"/>
            </w:pPr>
            <w:r>
              <w:t>0.75</w:t>
            </w:r>
          </w:p>
        </w:tc>
        <w:tc>
          <w:tcPr>
            <w:tcW w:w="771" w:type="pct"/>
            <w:shd w:val="clear" w:color="auto" w:fill="auto"/>
          </w:tcPr>
          <w:p w14:paraId="0D61EDC5" w14:textId="77777777" w:rsidR="00B37A7A" w:rsidRDefault="00B37A7A" w:rsidP="002816DD">
            <w:pPr>
              <w:jc w:val="center"/>
            </w:pPr>
            <w:r>
              <w:t>$47.25</w:t>
            </w:r>
          </w:p>
        </w:tc>
      </w:tr>
      <w:tr w:rsidR="00B37A7A" w14:paraId="1AD80A3C" w14:textId="77777777" w:rsidTr="002816DD">
        <w:tc>
          <w:tcPr>
            <w:tcW w:w="772" w:type="pct"/>
            <w:shd w:val="clear" w:color="auto" w:fill="auto"/>
          </w:tcPr>
          <w:p w14:paraId="6249588A" w14:textId="77777777" w:rsidR="00B37A7A" w:rsidRDefault="00B37A7A" w:rsidP="002816DD">
            <w:pPr>
              <w:jc w:val="center"/>
            </w:pPr>
            <w:r>
              <w:t>VI</w:t>
            </w:r>
          </w:p>
        </w:tc>
        <w:tc>
          <w:tcPr>
            <w:tcW w:w="2643" w:type="pct"/>
            <w:shd w:val="clear" w:color="auto" w:fill="auto"/>
          </w:tcPr>
          <w:p w14:paraId="32D69FBE" w14:textId="77777777" w:rsidR="00B37A7A" w:rsidRDefault="00B37A7A" w:rsidP="002816DD">
            <w:r>
              <w:t>All other classes, not included above *</w:t>
            </w:r>
          </w:p>
        </w:tc>
        <w:tc>
          <w:tcPr>
            <w:tcW w:w="1585" w:type="pct"/>
            <w:gridSpan w:val="2"/>
            <w:shd w:val="clear" w:color="auto" w:fill="auto"/>
            <w:vAlign w:val="center"/>
          </w:tcPr>
          <w:p w14:paraId="6EBB19C2" w14:textId="77777777" w:rsidR="00B37A7A" w:rsidRDefault="00B37A7A" w:rsidP="002816DD">
            <w:r>
              <w:t>To be determined by City Engineer</w:t>
            </w:r>
          </w:p>
        </w:tc>
      </w:tr>
    </w:tbl>
    <w:p w14:paraId="6D0D62DB" w14:textId="77777777" w:rsidR="00B37A7A" w:rsidRDefault="00B37A7A" w:rsidP="00B37A7A"/>
    <w:p w14:paraId="6FD51412" w14:textId="7602ED4C" w:rsidR="004D34E8" w:rsidRDefault="00982853" w:rsidP="00B37A7A">
      <w:r>
        <w:t>* For non-residential development, the City Engineer will determine the monthly sewer rate on a case by case basis using standard practices.  Generally, the rate will be based on the size of the water meter, the type of use, or an estimate of the number of equivalent dwelling units.</w:t>
      </w:r>
    </w:p>
    <w:p w14:paraId="5F9A8042" w14:textId="77777777" w:rsidR="00982853" w:rsidRDefault="00982853" w:rsidP="00B37A7A"/>
    <w:p w14:paraId="35965B34" w14:textId="77777777" w:rsidR="00B37A7A" w:rsidRDefault="00B37A7A" w:rsidP="00B37A7A">
      <w:r>
        <w:t xml:space="preserve">City determined that Non-Profit organizations using less than 10,000 gallons of water per year will be considered an ERU Multiple 0.75. </w:t>
      </w:r>
    </w:p>
    <w:p w14:paraId="6435A63E" w14:textId="77777777" w:rsidR="00B37A7A" w:rsidRDefault="00B37A7A" w:rsidP="00B37A7A"/>
    <w:p w14:paraId="793775E2" w14:textId="7A298196" w:rsidR="00B37A7A" w:rsidRDefault="00B37A7A" w:rsidP="00B37A7A">
      <w:r>
        <w:t>American Legion, Mosier Grange, and Mosier First Christian Church are determ</w:t>
      </w:r>
      <w:r w:rsidR="005D0BA3">
        <w:t xml:space="preserve">ined to fit the Rate Class of VI </w:t>
      </w:r>
      <w:bookmarkStart w:id="0" w:name="_GoBack"/>
      <w:bookmarkEnd w:id="0"/>
      <w:r>
        <w:t xml:space="preserve">and any other Non-Profit organizations must come before the City Council for a determination request. </w:t>
      </w:r>
    </w:p>
    <w:p w14:paraId="5FB24561" w14:textId="77777777" w:rsidR="00B37A7A" w:rsidRDefault="00B37A7A" w:rsidP="00B37A7A"/>
    <w:p w14:paraId="551C71D4" w14:textId="1AF16BB3" w:rsidR="00B37A7A" w:rsidRDefault="00B37A7A" w:rsidP="00B37A7A">
      <w:r>
        <w:t>These rates will be billed per month per sewer connection.  There will be no “turn-off” rates available for non-use.</w:t>
      </w:r>
      <w:r w:rsidR="004D34E8">
        <w:t xml:space="preserve">  For new construction, rates are in effect upon installation of the water meter and approval </w:t>
      </w:r>
      <w:r w:rsidR="00982853">
        <w:t xml:space="preserve">by the City </w:t>
      </w:r>
      <w:r w:rsidR="004D34E8">
        <w:t xml:space="preserve">of the </w:t>
      </w:r>
      <w:r w:rsidR="00982853">
        <w:t xml:space="preserve">connection to the </w:t>
      </w:r>
      <w:r w:rsidR="004D34E8">
        <w:t>sewer service.</w:t>
      </w:r>
    </w:p>
    <w:p w14:paraId="3F47B8D1" w14:textId="77777777" w:rsidR="00B11E20" w:rsidRDefault="00B11E20"/>
    <w:sectPr w:rsidR="00B11E20">
      <w:headerReference w:type="default" r:id="rId9"/>
      <w:footerReference w:type="default" r:id="rId10"/>
      <w:pgSz w:w="12240" w:h="15840"/>
      <w:pgMar w:top="864" w:right="1728" w:bottom="1440" w:left="1728"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62C9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47F6F" w14:textId="77777777" w:rsidR="00763AD6" w:rsidRDefault="00763AD6">
      <w:r>
        <w:separator/>
      </w:r>
    </w:p>
  </w:endnote>
  <w:endnote w:type="continuationSeparator" w:id="0">
    <w:p w14:paraId="2134A4E7" w14:textId="77777777" w:rsidR="00763AD6" w:rsidRDefault="0076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6485" w14:textId="6EC27DC4" w:rsidR="00B11E20" w:rsidRDefault="009828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BA3">
      <w:rPr>
        <w:rStyle w:val="PageNumber"/>
        <w:noProof/>
      </w:rPr>
      <w:t>2</w:t>
    </w:r>
    <w:r>
      <w:rPr>
        <w:rStyle w:val="PageNumber"/>
      </w:rPr>
      <w:fldChar w:fldCharType="end"/>
    </w:r>
    <w:r>
      <w:rPr>
        <w:rStyle w:val="PageNumber"/>
      </w:rPr>
      <w:t xml:space="preserve"> – RESOLUTION</w:t>
    </w:r>
    <w:r>
      <w:rPr>
        <w:rStyle w:val="PageNumber"/>
      </w:rPr>
      <w:tab/>
    </w:r>
    <w:r>
      <w:rPr>
        <w:rStyle w:val="PageNumber"/>
      </w:rPr>
      <w:tab/>
      <w:t>(Sewer Utility</w:t>
    </w:r>
    <w:r w:rsidR="004D34E8">
      <w:rPr>
        <w:rStyle w:val="PageNumber"/>
      </w:rPr>
      <w:t xml:space="preserve"> Rate Increase</w:t>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BDDAB" w14:textId="2F0DF00C" w:rsidR="004D34E8" w:rsidRDefault="004D34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D0BA3">
      <w:rPr>
        <w:rStyle w:val="PageNumber"/>
        <w:noProof/>
      </w:rPr>
      <w:t>3</w:t>
    </w:r>
    <w:r>
      <w:rPr>
        <w:rStyle w:val="PageNumber"/>
      </w:rPr>
      <w:fldChar w:fldCharType="end"/>
    </w:r>
    <w:r>
      <w:rPr>
        <w:rStyle w:val="PageNumber"/>
      </w:rPr>
      <w:t xml:space="preserve"> – Exhibit A</w:t>
    </w:r>
    <w:r>
      <w:rPr>
        <w:rStyle w:val="PageNumber"/>
      </w:rPr>
      <w:tab/>
    </w:r>
    <w:r>
      <w:rPr>
        <w:rStyle w:val="PageNumber"/>
      </w:rPr>
      <w:tab/>
      <w:t>(Sewer Utility Rate Schedule)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66C87" w14:textId="77777777" w:rsidR="00763AD6" w:rsidRDefault="00763AD6">
      <w:r>
        <w:separator/>
      </w:r>
    </w:p>
  </w:footnote>
  <w:footnote w:type="continuationSeparator" w:id="0">
    <w:p w14:paraId="52B89DB5" w14:textId="77777777" w:rsidR="00763AD6" w:rsidRDefault="00763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1C391" w14:textId="77777777" w:rsidR="00FC4937" w:rsidRDefault="00FC4937">
    <w:pPr>
      <w:pStyle w:val="Header"/>
    </w:pPr>
    <w:r>
      <w:t>EXHIBIT A – SEWER RATE SCHEDULE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BE6"/>
    <w:multiLevelType w:val="hybridMultilevel"/>
    <w:tmpl w:val="963013F2"/>
    <w:lvl w:ilvl="0" w:tplc="04090015">
      <w:start w:val="1"/>
      <w:numFmt w:val="upperLetter"/>
      <w:lvlText w:val="%1."/>
      <w:lvlJc w:val="left"/>
      <w:pPr>
        <w:tabs>
          <w:tab w:val="num" w:pos="720"/>
        </w:tabs>
        <w:ind w:left="720" w:hanging="360"/>
      </w:pPr>
      <w:rPr>
        <w:rFonts w:hint="default"/>
      </w:rPr>
    </w:lvl>
    <w:lvl w:ilvl="1" w:tplc="A3B26C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0E242F"/>
    <w:multiLevelType w:val="hybridMultilevel"/>
    <w:tmpl w:val="097648D2"/>
    <w:lvl w:ilvl="0" w:tplc="04090013">
      <w:start w:val="1"/>
      <w:numFmt w:val="upperRoman"/>
      <w:lvlText w:val="%1."/>
      <w:lvlJc w:val="right"/>
      <w:pPr>
        <w:tabs>
          <w:tab w:val="num" w:pos="0"/>
        </w:tabs>
        <w:ind w:left="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1B1E0B08"/>
    <w:multiLevelType w:val="hybridMultilevel"/>
    <w:tmpl w:val="AFAE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75145"/>
    <w:multiLevelType w:val="multilevel"/>
    <w:tmpl w:val="FA4CCE0C"/>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A4F5569"/>
    <w:multiLevelType w:val="hybridMultilevel"/>
    <w:tmpl w:val="D5944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E93F2F"/>
    <w:multiLevelType w:val="hybridMultilevel"/>
    <w:tmpl w:val="0C56BA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7B1503"/>
    <w:multiLevelType w:val="multilevel"/>
    <w:tmpl w:val="8F3A40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714185A"/>
    <w:multiLevelType w:val="hybridMultilevel"/>
    <w:tmpl w:val="C58C28E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6E7FDB"/>
    <w:multiLevelType w:val="hybridMultilevel"/>
    <w:tmpl w:val="A0347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7"/>
  </w:num>
  <w:num w:numId="6">
    <w:abstractNumId w:val="2"/>
  </w:num>
  <w:num w:numId="7">
    <w:abstractNumId w:val="4"/>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Grim">
    <w15:presenceInfo w15:providerId="None" w15:userId="John Gr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C94"/>
    <w:rsid w:val="002107C6"/>
    <w:rsid w:val="002D76A4"/>
    <w:rsid w:val="003F4FDA"/>
    <w:rsid w:val="004D34E8"/>
    <w:rsid w:val="005D0BA3"/>
    <w:rsid w:val="00677C94"/>
    <w:rsid w:val="00763AD6"/>
    <w:rsid w:val="00982853"/>
    <w:rsid w:val="00B11E20"/>
    <w:rsid w:val="00B37A7A"/>
    <w:rsid w:val="00FC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F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outlineLvl w:val="2"/>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p1">
    <w:name w:val="p1"/>
    <w:basedOn w:val="Normal"/>
    <w:pPr>
      <w:ind w:firstLine="240"/>
      <w:textAlignment w:val="baseline"/>
    </w:pPr>
    <w:rPr>
      <w:rFonts w:ascii="Arial" w:hAnsi="Arial" w:cs="Arial"/>
      <w:color w:val="000000"/>
      <w:sz w:val="22"/>
      <w:szCs w:val="2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customStyle="1" w:styleId="Recital">
    <w:name w:val="Recital"/>
    <w:basedOn w:val="Normal"/>
    <w:pPr>
      <w:spacing w:after="240"/>
      <w:ind w:firstLine="720"/>
      <w:jc w:val="both"/>
    </w:pPr>
    <w:rPr>
      <w:rFonts w:ascii="Goudy Old Style" w:hAnsi="Goudy Old Style"/>
      <w:szCs w:val="20"/>
    </w:rPr>
  </w:style>
  <w:style w:type="character" w:customStyle="1" w:styleId="CommentTextChar">
    <w:name w:val="Comment Text Char"/>
    <w:basedOn w:val="DefaultParagraphFont"/>
    <w:link w:val="CommentText"/>
    <w:uiPriority w:val="99"/>
    <w:semiHidden/>
    <w:rsid w:val="00B37A7A"/>
  </w:style>
  <w:style w:type="paragraph" w:styleId="Revision">
    <w:name w:val="Revision"/>
    <w:hidden/>
    <w:uiPriority w:val="99"/>
    <w:semiHidden/>
    <w:rsid w:val="005D0B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slevis</dc:creator>
  <cp:keywords/>
  <dc:description/>
  <cp:lastModifiedBy>Kathy</cp:lastModifiedBy>
  <cp:revision>8</cp:revision>
  <cp:lastPrinted>2014-07-13T03:18:00Z</cp:lastPrinted>
  <dcterms:created xsi:type="dcterms:W3CDTF">2014-07-07T16:35:00Z</dcterms:created>
  <dcterms:modified xsi:type="dcterms:W3CDTF">2014-07-13T03:18:00Z</dcterms:modified>
</cp:coreProperties>
</file>